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EBE73"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Paper Title (24pt, Times New Roman, upper case, line spacing: Before: 8pt, after: 16pt)</w:t>
      </w:r>
    </w:p>
    <w:p w14:paraId="35FCEFA2" w14:textId="77777777" w:rsidR="00CF4999" w:rsidRPr="00CF4999" w:rsidRDefault="00CF4999" w:rsidP="00CF4999">
      <w:pPr>
        <w:rPr>
          <w:rFonts w:ascii="Times New Roman" w:hAnsi="Times New Roman" w:cs="Times New Roman"/>
        </w:rPr>
      </w:pPr>
      <w:r w:rsidRPr="00CF4999">
        <w:rPr>
          <w:rFonts w:ascii="Times New Roman" w:hAnsi="Times New Roman" w:cs="Times New Roman"/>
          <w:vertAlign w:val="superscript"/>
        </w:rPr>
        <w:t>1</w:t>
      </w:r>
      <w:r w:rsidRPr="00CF4999">
        <w:rPr>
          <w:rFonts w:ascii="Times New Roman" w:hAnsi="Times New Roman" w:cs="Times New Roman"/>
        </w:rPr>
        <w:t>Name of 1</w:t>
      </w:r>
      <w:r w:rsidRPr="00CF4999">
        <w:rPr>
          <w:rFonts w:ascii="Times New Roman" w:hAnsi="Times New Roman" w:cs="Times New Roman"/>
          <w:vertAlign w:val="superscript"/>
        </w:rPr>
        <w:t>st</w:t>
      </w:r>
      <w:r w:rsidRPr="00CF4999">
        <w:rPr>
          <w:rFonts w:ascii="Times New Roman" w:hAnsi="Times New Roman" w:cs="Times New Roman"/>
        </w:rPr>
        <w:t xml:space="preserve"> Author, </w:t>
      </w:r>
      <w:r w:rsidRPr="00CF4999">
        <w:rPr>
          <w:rFonts w:ascii="Times New Roman" w:hAnsi="Times New Roman" w:cs="Times New Roman"/>
          <w:vertAlign w:val="superscript"/>
        </w:rPr>
        <w:t>2</w:t>
      </w:r>
      <w:r w:rsidRPr="00CF4999">
        <w:rPr>
          <w:rFonts w:ascii="Times New Roman" w:hAnsi="Times New Roman" w:cs="Times New Roman"/>
        </w:rPr>
        <w:t>Name of 2</w:t>
      </w:r>
      <w:r w:rsidRPr="00CF4999">
        <w:rPr>
          <w:rFonts w:ascii="Times New Roman" w:hAnsi="Times New Roman" w:cs="Times New Roman"/>
          <w:vertAlign w:val="superscript"/>
        </w:rPr>
        <w:t>nd</w:t>
      </w:r>
      <w:r w:rsidRPr="00CF4999">
        <w:rPr>
          <w:rFonts w:ascii="Times New Roman" w:hAnsi="Times New Roman" w:cs="Times New Roman"/>
        </w:rPr>
        <w:t xml:space="preserve"> Author, </w:t>
      </w:r>
      <w:r w:rsidRPr="00CF4999">
        <w:rPr>
          <w:rFonts w:ascii="Times New Roman" w:hAnsi="Times New Roman" w:cs="Times New Roman"/>
          <w:vertAlign w:val="superscript"/>
        </w:rPr>
        <w:t>3</w:t>
      </w:r>
      <w:r w:rsidRPr="00CF4999">
        <w:rPr>
          <w:rFonts w:ascii="Times New Roman" w:hAnsi="Times New Roman" w:cs="Times New Roman"/>
        </w:rPr>
        <w:t>Name of 3</w:t>
      </w:r>
      <w:r w:rsidRPr="00CF4999">
        <w:rPr>
          <w:rFonts w:ascii="Times New Roman" w:hAnsi="Times New Roman" w:cs="Times New Roman"/>
          <w:vertAlign w:val="superscript"/>
        </w:rPr>
        <w:t>rd</w:t>
      </w:r>
      <w:r w:rsidRPr="00CF4999">
        <w:rPr>
          <w:rFonts w:ascii="Times New Roman" w:hAnsi="Times New Roman" w:cs="Times New Roman"/>
        </w:rPr>
        <w:t xml:space="preserve"> Author</w:t>
      </w:r>
    </w:p>
    <w:p w14:paraId="6C60141B" w14:textId="5C65E64A" w:rsidR="00CF4999" w:rsidRPr="00CF4999" w:rsidRDefault="00CF4999" w:rsidP="00CF4999">
      <w:pPr>
        <w:rPr>
          <w:rFonts w:ascii="Times New Roman" w:hAnsi="Times New Roman" w:cs="Times New Roman"/>
        </w:rPr>
      </w:pPr>
      <w:r w:rsidRPr="00CF4999">
        <w:rPr>
          <w:rFonts w:ascii="Times New Roman" w:hAnsi="Times New Roman" w:cs="Times New Roman"/>
          <w:vertAlign w:val="superscript"/>
        </w:rPr>
        <w:t>1</w:t>
      </w:r>
      <w:r w:rsidR="002175D7">
        <w:rPr>
          <w:rFonts w:ascii="Times New Roman" w:hAnsi="Times New Roman" w:cs="Times New Roman"/>
          <w:vertAlign w:val="superscript"/>
        </w:rPr>
        <w:t xml:space="preserve"> </w:t>
      </w:r>
      <w:r w:rsidR="002175D7" w:rsidRPr="00CF4999">
        <w:rPr>
          <w:rFonts w:ascii="Times New Roman" w:hAnsi="Times New Roman" w:cs="Times New Roman"/>
        </w:rPr>
        <w:t>Designation of 1</w:t>
      </w:r>
      <w:r w:rsidR="002175D7" w:rsidRPr="00CF4999">
        <w:rPr>
          <w:rFonts w:ascii="Times New Roman" w:hAnsi="Times New Roman" w:cs="Times New Roman"/>
          <w:vertAlign w:val="superscript"/>
        </w:rPr>
        <w:t>st</w:t>
      </w:r>
      <w:r w:rsidR="002175D7" w:rsidRPr="00CF4999">
        <w:rPr>
          <w:rFonts w:ascii="Times New Roman" w:hAnsi="Times New Roman" w:cs="Times New Roman"/>
        </w:rPr>
        <w:t xml:space="preserve"> Author</w:t>
      </w:r>
      <w:r w:rsidR="002175D7">
        <w:rPr>
          <w:rFonts w:ascii="Times New Roman" w:hAnsi="Times New Roman" w:cs="Times New Roman"/>
        </w:rPr>
        <w:t>,</w:t>
      </w:r>
      <w:r w:rsidR="002175D7" w:rsidRPr="00CF4999">
        <w:rPr>
          <w:rFonts w:ascii="Times New Roman" w:hAnsi="Times New Roman" w:cs="Times New Roman"/>
        </w:rPr>
        <w:t xml:space="preserve"> </w:t>
      </w:r>
      <w:r w:rsidRPr="00CF4999">
        <w:rPr>
          <w:rFonts w:ascii="Times New Roman" w:hAnsi="Times New Roman" w:cs="Times New Roman"/>
        </w:rPr>
        <w:t>Name of Department of 1</w:t>
      </w:r>
      <w:r w:rsidRPr="00CF4999">
        <w:rPr>
          <w:rFonts w:ascii="Times New Roman" w:hAnsi="Times New Roman" w:cs="Times New Roman"/>
          <w:vertAlign w:val="superscript"/>
        </w:rPr>
        <w:t>st</w:t>
      </w:r>
      <w:r w:rsidRPr="00CF4999">
        <w:rPr>
          <w:rFonts w:ascii="Times New Roman" w:hAnsi="Times New Roman" w:cs="Times New Roman"/>
        </w:rPr>
        <w:t xml:space="preserve"> Author, </w:t>
      </w:r>
      <w:r w:rsidR="002175D7" w:rsidRPr="00CF4999">
        <w:rPr>
          <w:rFonts w:ascii="Times New Roman" w:hAnsi="Times New Roman" w:cs="Times New Roman"/>
        </w:rPr>
        <w:t>Name of organization of 1</w:t>
      </w:r>
      <w:r w:rsidR="002175D7" w:rsidRPr="00CF4999">
        <w:rPr>
          <w:rFonts w:ascii="Times New Roman" w:hAnsi="Times New Roman" w:cs="Times New Roman"/>
          <w:vertAlign w:val="superscript"/>
        </w:rPr>
        <w:t>st</w:t>
      </w:r>
      <w:r w:rsidR="002175D7" w:rsidRPr="00CF4999">
        <w:rPr>
          <w:rFonts w:ascii="Times New Roman" w:hAnsi="Times New Roman" w:cs="Times New Roman"/>
        </w:rPr>
        <w:t xml:space="preserve"> Author, City, Country</w:t>
      </w:r>
    </w:p>
    <w:p w14:paraId="3CF04EAA" w14:textId="24742BA4" w:rsidR="00CF4999" w:rsidRPr="00CF4999" w:rsidRDefault="002175D7" w:rsidP="00CF4999">
      <w:pPr>
        <w:rPr>
          <w:rFonts w:ascii="Times New Roman" w:hAnsi="Times New Roman" w:cs="Times New Roman"/>
        </w:rPr>
      </w:pPr>
      <w:r w:rsidRPr="002175D7">
        <w:rPr>
          <w:rFonts w:ascii="Times New Roman" w:hAnsi="Times New Roman" w:cs="Times New Roman"/>
          <w:vertAlign w:val="superscript"/>
        </w:rPr>
        <w:t xml:space="preserve">2 </w:t>
      </w:r>
      <w:r w:rsidRPr="00CF4999">
        <w:rPr>
          <w:rFonts w:ascii="Times New Roman" w:hAnsi="Times New Roman" w:cs="Times New Roman"/>
        </w:rPr>
        <w:t xml:space="preserve">Designation of </w:t>
      </w:r>
      <w:r>
        <w:rPr>
          <w:rFonts w:ascii="Times New Roman" w:hAnsi="Times New Roman" w:cs="Times New Roman"/>
        </w:rPr>
        <w:t>2</w:t>
      </w:r>
      <w:r>
        <w:rPr>
          <w:rFonts w:ascii="Times New Roman" w:hAnsi="Times New Roman" w:cs="Times New Roman"/>
          <w:vertAlign w:val="superscript"/>
        </w:rPr>
        <w:t>nd</w:t>
      </w:r>
      <w:r w:rsidRPr="00CF4999">
        <w:rPr>
          <w:rFonts w:ascii="Times New Roman" w:hAnsi="Times New Roman" w:cs="Times New Roman"/>
        </w:rPr>
        <w:t xml:space="preserve"> Author</w:t>
      </w:r>
      <w:r>
        <w:rPr>
          <w:rFonts w:ascii="Times New Roman" w:hAnsi="Times New Roman" w:cs="Times New Roman"/>
        </w:rPr>
        <w:t>,</w:t>
      </w:r>
      <w:r w:rsidRPr="00CF4999">
        <w:rPr>
          <w:rFonts w:ascii="Times New Roman" w:hAnsi="Times New Roman" w:cs="Times New Roman"/>
        </w:rPr>
        <w:t xml:space="preserve"> Name of Department of </w:t>
      </w:r>
      <w:r>
        <w:rPr>
          <w:rFonts w:ascii="Times New Roman" w:hAnsi="Times New Roman" w:cs="Times New Roman"/>
        </w:rPr>
        <w:t>2</w:t>
      </w:r>
      <w:r>
        <w:rPr>
          <w:rFonts w:ascii="Times New Roman" w:hAnsi="Times New Roman" w:cs="Times New Roman"/>
          <w:vertAlign w:val="superscript"/>
        </w:rPr>
        <w:t>nd</w:t>
      </w:r>
      <w:r w:rsidRPr="00CF4999">
        <w:rPr>
          <w:rFonts w:ascii="Times New Roman" w:hAnsi="Times New Roman" w:cs="Times New Roman"/>
        </w:rPr>
        <w:t xml:space="preserve"> Author, Name of organization of </w:t>
      </w:r>
      <w:r>
        <w:rPr>
          <w:rFonts w:ascii="Times New Roman" w:hAnsi="Times New Roman" w:cs="Times New Roman"/>
        </w:rPr>
        <w:t>2</w:t>
      </w:r>
      <w:r>
        <w:rPr>
          <w:rFonts w:ascii="Times New Roman" w:hAnsi="Times New Roman" w:cs="Times New Roman"/>
          <w:vertAlign w:val="superscript"/>
        </w:rPr>
        <w:t>nd</w:t>
      </w:r>
      <w:r w:rsidRPr="00CF4999">
        <w:rPr>
          <w:rFonts w:ascii="Times New Roman" w:hAnsi="Times New Roman" w:cs="Times New Roman"/>
        </w:rPr>
        <w:t xml:space="preserve"> Author, City, Country</w:t>
      </w:r>
    </w:p>
    <w:p w14:paraId="6A06972A" w14:textId="5D770864" w:rsidR="00CF4999" w:rsidRPr="00CF4999" w:rsidRDefault="002175D7" w:rsidP="00CF4999">
      <w:pPr>
        <w:rPr>
          <w:rFonts w:ascii="Times New Roman" w:hAnsi="Times New Roman" w:cs="Times New Roman"/>
        </w:rPr>
      </w:pPr>
      <w:r w:rsidRPr="00CF4999">
        <w:rPr>
          <w:rFonts w:ascii="Times New Roman" w:hAnsi="Times New Roman" w:cs="Times New Roman"/>
        </w:rPr>
        <w:t xml:space="preserve">Designation of </w:t>
      </w:r>
      <w:r>
        <w:rPr>
          <w:rFonts w:ascii="Times New Roman" w:hAnsi="Times New Roman" w:cs="Times New Roman"/>
        </w:rPr>
        <w:t>3</w:t>
      </w:r>
      <w:r>
        <w:rPr>
          <w:rFonts w:ascii="Times New Roman" w:hAnsi="Times New Roman" w:cs="Times New Roman"/>
          <w:vertAlign w:val="superscript"/>
        </w:rPr>
        <w:t>rd</w:t>
      </w:r>
      <w:r w:rsidRPr="00CF4999">
        <w:rPr>
          <w:rFonts w:ascii="Times New Roman" w:hAnsi="Times New Roman" w:cs="Times New Roman"/>
        </w:rPr>
        <w:t xml:space="preserve"> Author</w:t>
      </w:r>
      <w:r>
        <w:rPr>
          <w:rFonts w:ascii="Times New Roman" w:hAnsi="Times New Roman" w:cs="Times New Roman"/>
        </w:rPr>
        <w:t>,</w:t>
      </w:r>
      <w:r w:rsidRPr="00CF4999">
        <w:rPr>
          <w:rFonts w:ascii="Times New Roman" w:hAnsi="Times New Roman" w:cs="Times New Roman"/>
        </w:rPr>
        <w:t xml:space="preserve"> Name of Department of </w:t>
      </w:r>
      <w:r>
        <w:rPr>
          <w:rFonts w:ascii="Times New Roman" w:hAnsi="Times New Roman" w:cs="Times New Roman"/>
        </w:rPr>
        <w:t>3</w:t>
      </w:r>
      <w:r>
        <w:rPr>
          <w:rFonts w:ascii="Times New Roman" w:hAnsi="Times New Roman" w:cs="Times New Roman"/>
          <w:vertAlign w:val="superscript"/>
        </w:rPr>
        <w:t>rd</w:t>
      </w:r>
      <w:r w:rsidRPr="00CF4999">
        <w:rPr>
          <w:rFonts w:ascii="Times New Roman" w:hAnsi="Times New Roman" w:cs="Times New Roman"/>
        </w:rPr>
        <w:t xml:space="preserve"> Author, Name of organization of </w:t>
      </w:r>
      <w:r>
        <w:rPr>
          <w:rFonts w:ascii="Times New Roman" w:hAnsi="Times New Roman" w:cs="Times New Roman"/>
        </w:rPr>
        <w:t>3</w:t>
      </w:r>
      <w:r>
        <w:rPr>
          <w:rFonts w:ascii="Times New Roman" w:hAnsi="Times New Roman" w:cs="Times New Roman"/>
          <w:vertAlign w:val="superscript"/>
        </w:rPr>
        <w:t>rd</w:t>
      </w:r>
      <w:r w:rsidRPr="00CF4999">
        <w:rPr>
          <w:rFonts w:ascii="Times New Roman" w:hAnsi="Times New Roman" w:cs="Times New Roman"/>
        </w:rPr>
        <w:t xml:space="preserve"> Author, City, Country</w:t>
      </w:r>
    </w:p>
    <w:p w14:paraId="19E20412" w14:textId="77777777" w:rsidR="00CF4999" w:rsidRPr="00CF4999" w:rsidRDefault="00CF4999" w:rsidP="00CF4999">
      <w:pPr>
        <w:rPr>
          <w:rFonts w:ascii="Times New Roman" w:hAnsi="Times New Roman" w:cs="Times New Roman"/>
          <w:b/>
          <w:bCs/>
          <w:i/>
          <w:iCs/>
        </w:rPr>
      </w:pPr>
    </w:p>
    <w:p w14:paraId="0EC2E9E7" w14:textId="4484DEFD" w:rsidR="00CF4999" w:rsidRPr="00CF4999" w:rsidRDefault="00CF4999" w:rsidP="00CF4999">
      <w:pPr>
        <w:rPr>
          <w:rFonts w:ascii="Times New Roman" w:hAnsi="Times New Roman" w:cs="Times New Roman"/>
          <w:b/>
          <w:bCs/>
          <w:i/>
        </w:rPr>
      </w:pPr>
      <w:r w:rsidRPr="00CF4999">
        <w:rPr>
          <w:rFonts w:ascii="Times New Roman" w:hAnsi="Times New Roman" w:cs="Times New Roman"/>
          <w:b/>
          <w:bCs/>
          <w:i/>
          <w:iCs/>
        </w:rPr>
        <w:t xml:space="preserve">Abstract : </w:t>
      </w:r>
      <w:r w:rsidRPr="00CF4999">
        <w:rPr>
          <w:rFonts w:ascii="Times New Roman" w:hAnsi="Times New Roman" w:cs="Times New Roman"/>
          <w:bCs/>
        </w:rPr>
        <w:t xml:space="preserve"> </w:t>
      </w:r>
      <w:r w:rsidR="00DB5C86" w:rsidRPr="00DB5C86">
        <w:rPr>
          <w:rFonts w:ascii="Times New Roman" w:hAnsi="Times New Roman" w:cs="Times New Roman"/>
          <w:bCs/>
        </w:rPr>
        <w:t>This study examines the impact of social responsibility (CSR) on brand image including trust (TRU), satisfaction (SAT), and customer loyalty (LOY) in the banking sector. According to the results of the PLS-SEM analysis used in the study based on survey data conducted in February 2025 in Vietnam, social responsibility is an important factor in the eyes of customers to decide to use, trust and stick with the bank they are using for a long time. CSR has a strong impact on satisfaction but has a weak direct impact on loyalty. CSR indirectly impacts loyalty through intermediary factors such as satisfaction and trust. In particular, brand trust (TRU) plays an intermediary role but the level of impact is lower than satisfaction (SAT). The study also shows that satisfaction (SAT) is a key factor to exploit as it is the most important intermediary in connecting CSR with TRU and LOY.</w:t>
      </w:r>
    </w:p>
    <w:p w14:paraId="669401B5" w14:textId="77777777" w:rsidR="00CF4999" w:rsidRPr="00CF4999" w:rsidRDefault="00CF4999" w:rsidP="00CF4999">
      <w:pPr>
        <w:rPr>
          <w:rFonts w:ascii="Times New Roman" w:hAnsi="Times New Roman" w:cs="Times New Roman"/>
          <w:b/>
          <w:bCs/>
          <w:i/>
          <w:iCs/>
        </w:rPr>
      </w:pPr>
    </w:p>
    <w:p w14:paraId="57125ED5" w14:textId="0487E55A" w:rsidR="00CF4999" w:rsidRPr="00CF4999" w:rsidRDefault="00CF4999" w:rsidP="00CF4999">
      <w:pPr>
        <w:rPr>
          <w:rFonts w:ascii="Times New Roman" w:hAnsi="Times New Roman" w:cs="Times New Roman"/>
          <w:i/>
          <w:iCs/>
        </w:rPr>
      </w:pPr>
      <w:r w:rsidRPr="00CF4999">
        <w:rPr>
          <w:rFonts w:ascii="Times New Roman" w:hAnsi="Times New Roman" w:cs="Times New Roman"/>
          <w:b/>
          <w:bCs/>
          <w:i/>
          <w:iCs/>
        </w:rPr>
        <w:t xml:space="preserve">Keywords </w:t>
      </w:r>
      <w:r w:rsidRPr="00CF4999">
        <w:rPr>
          <w:rFonts w:ascii="Times New Roman" w:hAnsi="Times New Roman" w:cs="Times New Roman"/>
          <w:b/>
          <w:bCs/>
          <w:iCs/>
        </w:rPr>
        <w:t xml:space="preserve">- Component, </w:t>
      </w:r>
      <w:r w:rsidR="00E53B8E" w:rsidRPr="00CF4999">
        <w:rPr>
          <w:rFonts w:ascii="Times New Roman" w:hAnsi="Times New Roman" w:cs="Times New Roman"/>
          <w:b/>
          <w:bCs/>
          <w:iCs/>
        </w:rPr>
        <w:t>Formatting, Style, Styling, Insert</w:t>
      </w:r>
    </w:p>
    <w:p w14:paraId="76CD08A9" w14:textId="77777777" w:rsidR="00CF4999" w:rsidRPr="00CF4999" w:rsidRDefault="00CF4999" w:rsidP="00CF4999">
      <w:pPr>
        <w:rPr>
          <w:rFonts w:ascii="Times New Roman" w:hAnsi="Times New Roman" w:cs="Times New Roman"/>
          <w:b/>
          <w:bCs/>
          <w:iCs/>
        </w:rPr>
      </w:pPr>
      <w:r w:rsidRPr="00CF4999">
        <w:rPr>
          <w:rFonts w:ascii="Times New Roman" w:hAnsi="Times New Roman" w:cs="Times New Roman"/>
          <w:i/>
          <w:iCs/>
        </w:rPr>
        <w:t>________________________________________________________________________________________________________</w:t>
      </w:r>
    </w:p>
    <w:p w14:paraId="32D24231" w14:textId="77777777" w:rsidR="00CF4999" w:rsidRPr="00CF4999" w:rsidRDefault="00CF4999" w:rsidP="00CF4999">
      <w:pPr>
        <w:numPr>
          <w:ilvl w:val="0"/>
          <w:numId w:val="2"/>
        </w:numPr>
        <w:rPr>
          <w:rFonts w:ascii="Times New Roman" w:hAnsi="Times New Roman" w:cs="Times New Roman"/>
          <w:b/>
        </w:rPr>
      </w:pPr>
      <w:r w:rsidRPr="00CF4999">
        <w:rPr>
          <w:rFonts w:ascii="Times New Roman" w:hAnsi="Times New Roman" w:cs="Times New Roman"/>
          <w:b/>
        </w:rPr>
        <w:t>Introduction</w:t>
      </w:r>
    </w:p>
    <w:p w14:paraId="474222F3" w14:textId="77777777" w:rsidR="00CF4999" w:rsidRPr="00CF4999" w:rsidRDefault="00CF4999" w:rsidP="00CF4999">
      <w:pPr>
        <w:rPr>
          <w:rFonts w:ascii="Times New Roman" w:hAnsi="Times New Roman" w:cs="Times New Roman"/>
        </w:rPr>
      </w:pPr>
      <w:r w:rsidRPr="00CF4999">
        <w:rPr>
          <w:rFonts w:ascii="Times New Roman" w:hAnsi="Times New Roman" w:cs="Times New Roman"/>
          <w:b/>
          <w:bCs/>
          <w:lang w:val="en-IN"/>
        </w:rPr>
        <w:t>Page size: </w:t>
      </w:r>
      <w:r w:rsidRPr="00CF4999">
        <w:rPr>
          <w:rFonts w:ascii="Times New Roman" w:hAnsi="Times New Roman" w:cs="Times New Roman"/>
          <w:lang w:val="en-IN"/>
        </w:rPr>
        <w:t>A4 size only</w:t>
      </w:r>
    </w:p>
    <w:p w14:paraId="4F439340" w14:textId="77777777" w:rsidR="00CF4999" w:rsidRPr="00CF4999" w:rsidRDefault="00CF4999" w:rsidP="00CF4999">
      <w:pPr>
        <w:rPr>
          <w:rFonts w:ascii="Times New Roman" w:hAnsi="Times New Roman" w:cs="Times New Roman"/>
          <w:lang w:val="en-IN"/>
        </w:rPr>
      </w:pPr>
      <w:r w:rsidRPr="00CF4999">
        <w:rPr>
          <w:rFonts w:ascii="Times New Roman" w:hAnsi="Times New Roman" w:cs="Times New Roman"/>
          <w:b/>
          <w:bCs/>
          <w:lang w:val="en-IN"/>
        </w:rPr>
        <w:t>Text Column</w:t>
      </w:r>
      <w:r w:rsidRPr="00CF4999">
        <w:rPr>
          <w:rFonts w:ascii="Times New Roman" w:hAnsi="Times New Roman" w:cs="Times New Roman"/>
          <w:lang w:val="en-IN"/>
        </w:rPr>
        <w:t xml:space="preserve">: Single </w:t>
      </w:r>
      <w:r w:rsidRPr="00CF4999">
        <w:rPr>
          <w:rFonts w:ascii="Times New Roman" w:hAnsi="Times New Roman" w:cs="Times New Roman"/>
          <w:b/>
          <w:lang w:val="en-IN"/>
        </w:rPr>
        <w:t>texts align:  justify</w:t>
      </w:r>
    </w:p>
    <w:p w14:paraId="6E74E952" w14:textId="77777777" w:rsidR="00CF4999" w:rsidRPr="00CF4999" w:rsidRDefault="00CF4999" w:rsidP="00CF4999">
      <w:pPr>
        <w:rPr>
          <w:rFonts w:ascii="Times New Roman" w:hAnsi="Times New Roman" w:cs="Times New Roman"/>
          <w:b/>
        </w:rPr>
      </w:pPr>
      <w:r w:rsidRPr="00CF4999">
        <w:rPr>
          <w:rFonts w:ascii="Times New Roman" w:hAnsi="Times New Roman" w:cs="Times New Roman"/>
          <w:b/>
          <w:lang w:val="en-IN"/>
        </w:rPr>
        <w:t>Title: 24pt Times New Roman align: centre</w:t>
      </w:r>
    </w:p>
    <w:p w14:paraId="1627DE49" w14:textId="77777777" w:rsidR="00CF4999" w:rsidRPr="00CF4999" w:rsidRDefault="00CF4999" w:rsidP="00CF4999">
      <w:pPr>
        <w:rPr>
          <w:rFonts w:ascii="Times New Roman" w:hAnsi="Times New Roman" w:cs="Times New Roman"/>
        </w:rPr>
      </w:pPr>
      <w:r w:rsidRPr="00CF4999">
        <w:rPr>
          <w:rFonts w:ascii="Times New Roman" w:hAnsi="Times New Roman" w:cs="Times New Roman"/>
          <w:b/>
          <w:bCs/>
          <w:lang w:val="en-IN"/>
        </w:rPr>
        <w:t>Page Margins:</w:t>
      </w:r>
      <w:r w:rsidRPr="00CF4999">
        <w:rPr>
          <w:rFonts w:ascii="Times New Roman" w:hAnsi="Times New Roman" w:cs="Times New Roman"/>
          <w:lang w:val="en-IN"/>
        </w:rPr>
        <w:t>  Left – 0.51”, Right – 0.51”, Top – 0.75”, Bottom – 0.75”</w:t>
      </w:r>
    </w:p>
    <w:p w14:paraId="128754CA" w14:textId="77777777" w:rsidR="00CF4999" w:rsidRPr="00CF4999" w:rsidRDefault="00CF4999" w:rsidP="00CF4999">
      <w:pPr>
        <w:rPr>
          <w:rFonts w:ascii="Times New Roman" w:hAnsi="Times New Roman" w:cs="Times New Roman"/>
        </w:rPr>
      </w:pPr>
      <w:r w:rsidRPr="00CF4999">
        <w:rPr>
          <w:rFonts w:ascii="Times New Roman" w:hAnsi="Times New Roman" w:cs="Times New Roman"/>
          <w:b/>
          <w:bCs/>
          <w:lang w:val="en-IN"/>
        </w:rPr>
        <w:t>Font:</w:t>
      </w:r>
      <w:r w:rsidRPr="00CF4999">
        <w:rPr>
          <w:rFonts w:ascii="Times New Roman" w:hAnsi="Times New Roman" w:cs="Times New Roman"/>
          <w:lang w:val="en-IN"/>
        </w:rPr>
        <w:t> Use Only Times New Roman for whole paper</w:t>
      </w:r>
    </w:p>
    <w:p w14:paraId="6CCC7AAF" w14:textId="3908A85D" w:rsidR="00CF4999" w:rsidRPr="00CF4999" w:rsidRDefault="00CF4999" w:rsidP="00CF4999">
      <w:pPr>
        <w:rPr>
          <w:rFonts w:ascii="Times New Roman" w:hAnsi="Times New Roman" w:cs="Times New Roman"/>
        </w:rPr>
      </w:pPr>
      <w:r w:rsidRPr="00CF4999">
        <w:rPr>
          <w:rFonts w:ascii="Times New Roman" w:hAnsi="Times New Roman" w:cs="Times New Roman"/>
          <w:b/>
          <w:bCs/>
          <w:lang w:val="en-IN"/>
        </w:rPr>
        <w:t>Figure caption:</w:t>
      </w:r>
      <w:r w:rsidRPr="00CF4999">
        <w:rPr>
          <w:rFonts w:ascii="Times New Roman" w:hAnsi="Times New Roman" w:cs="Times New Roman"/>
          <w:lang w:val="en-IN"/>
        </w:rPr>
        <w:t xml:space="preserve"> Font size- </w:t>
      </w:r>
      <w:r w:rsidR="004E65CB">
        <w:rPr>
          <w:rFonts w:ascii="Times New Roman" w:hAnsi="Times New Roman" w:cs="Times New Roman"/>
          <w:lang w:val="en-IN"/>
        </w:rPr>
        <w:t>9</w:t>
      </w:r>
      <w:r w:rsidRPr="00CF4999">
        <w:rPr>
          <w:rFonts w:ascii="Times New Roman" w:hAnsi="Times New Roman" w:cs="Times New Roman"/>
          <w:lang w:val="en-IN"/>
        </w:rPr>
        <w:t>”, lower case and Write below the figure, position-center</w:t>
      </w:r>
    </w:p>
    <w:p w14:paraId="7B8B7957" w14:textId="3BFDE9B8" w:rsidR="00CF4999" w:rsidRPr="00CF4999" w:rsidRDefault="00CF4999" w:rsidP="00CF4999">
      <w:pPr>
        <w:rPr>
          <w:rFonts w:ascii="Times New Roman" w:hAnsi="Times New Roman" w:cs="Times New Roman"/>
        </w:rPr>
      </w:pPr>
      <w:r w:rsidRPr="00CF4999">
        <w:rPr>
          <w:rFonts w:ascii="Times New Roman" w:hAnsi="Times New Roman" w:cs="Times New Roman"/>
          <w:b/>
          <w:bCs/>
          <w:lang w:val="en-IN"/>
        </w:rPr>
        <w:t>Table Caption:</w:t>
      </w:r>
      <w:r w:rsidRPr="00CF4999">
        <w:rPr>
          <w:rFonts w:ascii="Times New Roman" w:hAnsi="Times New Roman" w:cs="Times New Roman"/>
          <w:lang w:val="en-IN"/>
        </w:rPr>
        <w:t xml:space="preserve">  Font- </w:t>
      </w:r>
      <w:r w:rsidR="004E65CB">
        <w:rPr>
          <w:rFonts w:ascii="Times New Roman" w:hAnsi="Times New Roman" w:cs="Times New Roman"/>
          <w:lang w:val="en-IN"/>
        </w:rPr>
        <w:t>9</w:t>
      </w:r>
      <w:r w:rsidRPr="00CF4999">
        <w:rPr>
          <w:rFonts w:ascii="Times New Roman" w:hAnsi="Times New Roman" w:cs="Times New Roman"/>
          <w:lang w:val="en-IN"/>
        </w:rPr>
        <w:t>”, lower case and Top of the table, position-center</w:t>
      </w:r>
    </w:p>
    <w:p w14:paraId="116955F7" w14:textId="77777777" w:rsidR="00CF4999" w:rsidRPr="00CF4999" w:rsidRDefault="00CF4999" w:rsidP="00CF4999">
      <w:pPr>
        <w:rPr>
          <w:rFonts w:ascii="Times New Roman" w:hAnsi="Times New Roman" w:cs="Times New Roman"/>
        </w:rPr>
      </w:pPr>
      <w:r w:rsidRPr="00CF4999">
        <w:rPr>
          <w:rFonts w:ascii="Times New Roman" w:hAnsi="Times New Roman" w:cs="Times New Roman"/>
          <w:b/>
          <w:bCs/>
          <w:lang w:val="en-IN"/>
        </w:rPr>
        <w:t>Line Spacing:</w:t>
      </w:r>
      <w:r w:rsidRPr="00CF4999">
        <w:rPr>
          <w:rFonts w:ascii="Times New Roman" w:hAnsi="Times New Roman" w:cs="Times New Roman"/>
          <w:lang w:val="en-IN"/>
        </w:rPr>
        <w:t> single</w:t>
      </w:r>
    </w:p>
    <w:p w14:paraId="1113A65F" w14:textId="77777777" w:rsidR="00CF4999" w:rsidRPr="00CF4999" w:rsidRDefault="00CF4999" w:rsidP="00CF4999">
      <w:pPr>
        <w:rPr>
          <w:rFonts w:ascii="Times New Roman" w:hAnsi="Times New Roman" w:cs="Times New Roman"/>
          <w:lang w:val="en-IN"/>
        </w:rPr>
      </w:pPr>
      <w:r w:rsidRPr="00CF4999">
        <w:rPr>
          <w:rFonts w:ascii="Times New Roman" w:hAnsi="Times New Roman" w:cs="Times New Roman"/>
          <w:b/>
          <w:bCs/>
          <w:lang w:val="en-IN"/>
        </w:rPr>
        <w:t>Before</w:t>
      </w:r>
      <w:r w:rsidRPr="00CF4999">
        <w:rPr>
          <w:rFonts w:ascii="Times New Roman" w:hAnsi="Times New Roman" w:cs="Times New Roman"/>
          <w:lang w:val="en-IN"/>
        </w:rPr>
        <w:t>: 0” </w:t>
      </w:r>
      <w:r w:rsidRPr="00CF4999">
        <w:rPr>
          <w:rFonts w:ascii="Times New Roman" w:hAnsi="Times New Roman" w:cs="Times New Roman"/>
          <w:b/>
          <w:bCs/>
          <w:lang w:val="en-IN"/>
        </w:rPr>
        <w:t>After:</w:t>
      </w:r>
      <w:r w:rsidRPr="00CF4999">
        <w:rPr>
          <w:rFonts w:ascii="Times New Roman" w:hAnsi="Times New Roman" w:cs="Times New Roman"/>
          <w:lang w:val="en-IN"/>
        </w:rPr>
        <w:t> 0”</w:t>
      </w:r>
    </w:p>
    <w:p w14:paraId="39E2427C" w14:textId="77777777" w:rsidR="00CF4999" w:rsidRPr="00CF4999" w:rsidRDefault="00CF4999" w:rsidP="00CF4999">
      <w:pPr>
        <w:rPr>
          <w:rFonts w:ascii="Times New Roman" w:hAnsi="Times New Roman" w:cs="Times New Roman"/>
          <w:lang w:val="en-IN"/>
        </w:rPr>
      </w:pPr>
      <w:r w:rsidRPr="00CF4999">
        <w:rPr>
          <w:rFonts w:ascii="Times New Roman" w:hAnsi="Times New Roman" w:cs="Times New Roman"/>
          <w:b/>
          <w:lang w:val="en-IN"/>
        </w:rPr>
        <w:t>Header</w:t>
      </w:r>
      <w:r w:rsidRPr="00CF4999">
        <w:rPr>
          <w:rFonts w:ascii="Times New Roman" w:hAnsi="Times New Roman" w:cs="Times New Roman"/>
          <w:lang w:val="en-IN"/>
        </w:rPr>
        <w:t xml:space="preserve"> 0.3” </w:t>
      </w:r>
      <w:r w:rsidRPr="00CF4999">
        <w:rPr>
          <w:rFonts w:ascii="Times New Roman" w:hAnsi="Times New Roman" w:cs="Times New Roman"/>
          <w:b/>
          <w:lang w:val="en-IN"/>
        </w:rPr>
        <w:t>footer</w:t>
      </w:r>
      <w:r w:rsidRPr="00CF4999">
        <w:rPr>
          <w:rFonts w:ascii="Times New Roman" w:hAnsi="Times New Roman" w:cs="Times New Roman"/>
          <w:lang w:val="en-IN"/>
        </w:rPr>
        <w:t xml:space="preserve"> 0”</w:t>
      </w:r>
    </w:p>
    <w:p w14:paraId="381D5CD3" w14:textId="77777777" w:rsidR="00CF4999" w:rsidRPr="00CF4999" w:rsidRDefault="00CF4999" w:rsidP="00CF4999">
      <w:pPr>
        <w:rPr>
          <w:rFonts w:ascii="Times New Roman" w:hAnsi="Times New Roman" w:cs="Times New Roman"/>
          <w:lang w:val="en-IN"/>
        </w:rPr>
      </w:pPr>
    </w:p>
    <w:p w14:paraId="597ED2F5" w14:textId="77777777" w:rsidR="00CF4999" w:rsidRPr="00CF4999" w:rsidRDefault="00CF4999" w:rsidP="00CF4999">
      <w:pPr>
        <w:rPr>
          <w:rFonts w:ascii="Times New Roman" w:hAnsi="Times New Roman" w:cs="Times New Roman"/>
        </w:rPr>
      </w:pPr>
    </w:p>
    <w:p w14:paraId="31CE61AC" w14:textId="7382CF79" w:rsidR="009B055D" w:rsidRPr="009B055D" w:rsidRDefault="009B055D" w:rsidP="009B055D">
      <w:pPr>
        <w:spacing w:after="0"/>
        <w:rPr>
          <w:rFonts w:ascii="Times New Roman" w:hAnsi="Times New Roman" w:cs="Times New Roman"/>
        </w:rPr>
      </w:pPr>
      <w:r>
        <w:rPr>
          <w:rFonts w:ascii="Times New Roman" w:hAnsi="Times New Roman" w:cs="Times New Roman"/>
          <w:b/>
          <w:bCs/>
        </w:rPr>
        <w:t xml:space="preserve">1. </w:t>
      </w:r>
      <w:r w:rsidR="00CF4999" w:rsidRPr="009B055D">
        <w:rPr>
          <w:rFonts w:ascii="Times New Roman" w:hAnsi="Times New Roman" w:cs="Times New Roman"/>
          <w:b/>
          <w:bCs/>
        </w:rPr>
        <w:t>INTRODUCTION</w:t>
      </w:r>
    </w:p>
    <w:p w14:paraId="228C6B3D" w14:textId="072A1D5B" w:rsidR="00B20EB8" w:rsidRPr="00B20EB8" w:rsidRDefault="00B20EB8" w:rsidP="009B055D">
      <w:pPr>
        <w:rPr>
          <w:rFonts w:ascii="Times New Roman" w:hAnsi="Times New Roman" w:cs="Times New Roman"/>
        </w:rPr>
      </w:pPr>
      <w:r w:rsidRPr="009B055D">
        <w:rPr>
          <w:rFonts w:ascii="Times New Roman" w:hAnsi="Times New Roman" w:cs="Times New Roman"/>
        </w:rPr>
        <w:t xml:space="preserve">In my practice </w:t>
      </w:r>
      <w:r w:rsidRPr="009B055D">
        <w:rPr>
          <w:rFonts w:ascii="Times New Roman" w:hAnsi="Times New Roman" w:cs="Times New Roman"/>
          <w:lang w:val="en-IN"/>
        </w:rPr>
        <w:t>as a pediatric urologist</w:t>
      </w:r>
      <w:r w:rsidRPr="009B055D">
        <w:rPr>
          <w:rFonts w:ascii="Times New Roman" w:hAnsi="Times New Roman" w:cs="Times New Roman"/>
        </w:rPr>
        <w:t>, I’ve seen firsthand how wearable technologies can change the way we care for children with surgical and urologic needs. These devices, which started as basic tools for tracking steps, have become sophisticated systems that monitor health around the clock, offering a lifeline for young patients who can’t always express what’s wrong [1]. Kids have unique challenges—smaller bodies, fast growth, and developing systems—that make non-invasive, continuous monitoring a game-changer in pediatric surgery and urology [2]. For instance, a wearable device can catch early signs of infection after surgery or help manage chronic conditions like vesicoureteral reflux (VUR), where urine flows backward and risks kidney damage, all without constant hospital visits [3].</w:t>
      </w:r>
    </w:p>
    <w:p w14:paraId="4E998F2A" w14:textId="2A579D29" w:rsidR="00CF4999" w:rsidRPr="009B055D" w:rsidRDefault="00B20EB8" w:rsidP="00CF4999">
      <w:pPr>
        <w:rPr>
          <w:rFonts w:ascii="Times New Roman" w:hAnsi="Times New Roman" w:cs="Times New Roman"/>
        </w:rPr>
      </w:pPr>
      <w:r w:rsidRPr="00B20EB8">
        <w:rPr>
          <w:rFonts w:ascii="Times New Roman" w:hAnsi="Times New Roman" w:cs="Times New Roman"/>
        </w:rPr>
        <w:t>The demand for these technologies is soaring, with the global medical wearables market expected to hit $60 billion by 2026, fueled by the need for remote monitoring and better management of long-term conditions in children [4]. In places like rural India, where families often travel hours to see a specialist, wearables can bridge the gap, giving parents peace of mind and doctors real-time data to act on [5]. This paper dives into how wearables are being used in pediatric surgery and urology, exploring the technology behind them, their real-world impact, the obstacles we face, and what’s on the horizon for improving care for our youngest patients.</w:t>
      </w:r>
    </w:p>
    <w:p w14:paraId="74162761" w14:textId="77777777" w:rsidR="00CF4999" w:rsidRPr="00CF4999" w:rsidRDefault="00CF4999" w:rsidP="00CF4999">
      <w:pPr>
        <w:rPr>
          <w:rFonts w:ascii="Times New Roman" w:hAnsi="Times New Roman" w:cs="Times New Roman"/>
          <w:b/>
          <w:bCs/>
        </w:rPr>
      </w:pPr>
      <w:r w:rsidRPr="00CF4999">
        <w:rPr>
          <w:rFonts w:ascii="Times New Roman" w:hAnsi="Times New Roman" w:cs="Times New Roman"/>
          <w:b/>
          <w:bCs/>
        </w:rPr>
        <w:t>NEED OF THE STUDY.</w:t>
      </w:r>
    </w:p>
    <w:p w14:paraId="6CD0883F" w14:textId="7E35075B" w:rsidR="00B20EB8" w:rsidRPr="00B20EB8" w:rsidRDefault="00B20EB8" w:rsidP="00B20EB8">
      <w:pPr>
        <w:rPr>
          <w:rFonts w:ascii="Times New Roman" w:hAnsi="Times New Roman" w:cs="Times New Roman"/>
        </w:rPr>
      </w:pPr>
      <w:r w:rsidRPr="00B20EB8">
        <w:rPr>
          <w:rFonts w:ascii="Times New Roman" w:hAnsi="Times New Roman" w:cs="Times New Roman"/>
        </w:rPr>
        <w:t xml:space="preserve">In my practice </w:t>
      </w:r>
      <w:r w:rsidRPr="00B20EB8">
        <w:rPr>
          <w:rFonts w:ascii="Times New Roman" w:hAnsi="Times New Roman" w:cs="Times New Roman"/>
          <w:lang w:val="en-IN"/>
        </w:rPr>
        <w:t>as a pediatric urologist</w:t>
      </w:r>
      <w:r w:rsidRPr="00B20EB8">
        <w:rPr>
          <w:rFonts w:ascii="Times New Roman" w:hAnsi="Times New Roman" w:cs="Times New Roman"/>
        </w:rPr>
        <w:t>, I’ve seen firsthand how wearable technologies can change the way we care for children with surgical and urologic needs. These devices, which started as basic tools for tracking steps, have become sophisticated systems that monitor health around the clock, offering a lifeline for young patients who can’t always express what’s wrong [1]. Kids have unique challenges—smaller bodies, fast growth, and developing systems—that make non-invasive, continuous monitoring a game-changer in pediatric surgery and urology [2]. For instance, a wearable device can catch early signs of infection after surgery or help manage chronic conditions like vesicoureteral reflux (VUR), where urine flows backward and risks kidney damage, all without constant hospital visits [3].</w:t>
      </w:r>
    </w:p>
    <w:p w14:paraId="1707D785" w14:textId="77777777" w:rsidR="00B20EB8" w:rsidRPr="00B20EB8" w:rsidRDefault="00B20EB8" w:rsidP="00B20EB8">
      <w:pPr>
        <w:rPr>
          <w:rFonts w:ascii="Times New Roman" w:hAnsi="Times New Roman" w:cs="Times New Roman"/>
        </w:rPr>
      </w:pPr>
      <w:r w:rsidRPr="00B20EB8">
        <w:rPr>
          <w:rFonts w:ascii="Times New Roman" w:hAnsi="Times New Roman" w:cs="Times New Roman"/>
        </w:rPr>
        <w:t>The demand for these technologies is soaring, with the global medical wearables market expected to hit $60 billion by 2026, fueled by the need for remote monitoring and better management of long-term conditions in children [4]. In places like rural India, where families often travel hours to see a specialist, wearables can bridge the gap, giving parents peace of mind and doctors real-time data to act on [5]. This paper dives into how wearables are being used in pediatric surgery and urology, exploring the technology behind them, their real-world impact, the obstacles we face, and what’s on the horizon for improving care for our youngest patients.</w:t>
      </w:r>
    </w:p>
    <w:p w14:paraId="22BB4F5A" w14:textId="77777777" w:rsidR="00CF4999" w:rsidRPr="00CF4999" w:rsidRDefault="00CF4999" w:rsidP="00CF4999">
      <w:pPr>
        <w:rPr>
          <w:rFonts w:ascii="Times New Roman" w:hAnsi="Times New Roman" w:cs="Times New Roman"/>
          <w:b/>
          <w:bCs/>
        </w:rPr>
      </w:pPr>
      <w:r w:rsidRPr="00CF4999">
        <w:rPr>
          <w:rFonts w:ascii="Times New Roman" w:hAnsi="Times New Roman" w:cs="Times New Roman"/>
        </w:rPr>
        <w:br/>
      </w:r>
      <w:r w:rsidRPr="00CF4999">
        <w:rPr>
          <w:rFonts w:ascii="Times New Roman" w:hAnsi="Times New Roman" w:cs="Times New Roman"/>
          <w:b/>
          <w:bCs/>
        </w:rPr>
        <w:t>3.1</w:t>
      </w:r>
      <w:r w:rsidRPr="00CF4999">
        <w:rPr>
          <w:rFonts w:ascii="Times New Roman" w:hAnsi="Times New Roman" w:cs="Times New Roman"/>
          <w:b/>
        </w:rPr>
        <w:t xml:space="preserve">Population and Sample </w:t>
      </w:r>
    </w:p>
    <w:p w14:paraId="62CEBD1C" w14:textId="1D71C396" w:rsidR="00B20EB8" w:rsidRPr="00B20EB8" w:rsidRDefault="00E1130F" w:rsidP="00B20EB8">
      <w:pPr>
        <w:rPr>
          <w:rFonts w:ascii="Times New Roman" w:hAnsi="Times New Roman" w:cs="Times New Roman"/>
        </w:rPr>
      </w:pPr>
      <w:r w:rsidRPr="00E1130F">
        <w:rPr>
          <w:rFonts w:ascii="Times New Roman" w:hAnsi="Times New Roman" w:cs="Times New Roman"/>
        </w:rPr>
        <w:t xml:space="preserve">The demand for these technologies is soaring, with the global medical wearables market expected to hit $60 billion by 2026, fueled by the need for remote monitoring and better management of long-term conditions in children [4]. In places like rural India, where families often travel hours to see a specialist, wearables can </w:t>
      </w:r>
      <w:r w:rsidRPr="00E1130F">
        <w:rPr>
          <w:rFonts w:ascii="Times New Roman" w:hAnsi="Times New Roman" w:cs="Times New Roman"/>
        </w:rPr>
        <w:lastRenderedPageBreak/>
        <w:t>bridge the gap, giving parents peace of mind and doctors real-time data to act on [5]. This paper dives into how wearables are being used in pediatric surgery and urology, exploring the technology behind them, their real-world impact, the obstacles we face, and what’s on the horizon for improving care for our youngest patients.</w:t>
      </w:r>
    </w:p>
    <w:p w14:paraId="3039C6FF" w14:textId="28E741DA" w:rsidR="00B20EB8" w:rsidRPr="00B20EB8" w:rsidRDefault="00E1130F" w:rsidP="00B20EB8">
      <w:pPr>
        <w:rPr>
          <w:rFonts w:ascii="Times New Roman" w:hAnsi="Times New Roman" w:cs="Times New Roman"/>
        </w:rPr>
      </w:pPr>
      <w:r w:rsidRPr="00E1130F">
        <w:rPr>
          <w:rFonts w:ascii="Times New Roman" w:hAnsi="Times New Roman" w:cs="Times New Roman"/>
        </w:rPr>
        <w:t>The demand for these technologies is soaring, with the global medical wearables market expected to hit $60 billion by 2026, fueled by the need for remote monitoring and better management of long-term conditions in children [4]. In places like rural India, where families often travel hours to see a specialist, wearables can bridge the gap, giving parents peace of mind and doctors real-time data to act on [5]. This paper dives into how wearables are being used in pediatric surgery and urology, exploring the technology behind them, their real-world impact, the obstacles we face, and what’s on the horizon for improving care for our youngest patients.</w:t>
      </w:r>
    </w:p>
    <w:p w14:paraId="30DFA537" w14:textId="3393E6B9" w:rsidR="00B20EB8" w:rsidRDefault="00B20EB8" w:rsidP="00B20EB8">
      <w:pPr>
        <w:rPr>
          <w:rFonts w:ascii="Times New Roman" w:hAnsi="Times New Roman" w:cs="Times New Roman"/>
        </w:rPr>
      </w:pPr>
    </w:p>
    <w:p w14:paraId="085780F0" w14:textId="26E4C17D" w:rsidR="00CF4999" w:rsidRPr="00CF4999" w:rsidRDefault="00CF4999" w:rsidP="00B20EB8">
      <w:pPr>
        <w:rPr>
          <w:rFonts w:ascii="Times New Roman" w:hAnsi="Times New Roman" w:cs="Times New Roman"/>
        </w:rPr>
      </w:pPr>
      <w:r w:rsidRPr="00CF4999">
        <w:rPr>
          <w:rFonts w:ascii="Times New Roman" w:hAnsi="Times New Roman" w:cs="Times New Roman"/>
          <w:b/>
          <w:bCs/>
        </w:rPr>
        <w:t>3.2 Data and Sources of Data</w:t>
      </w:r>
    </w:p>
    <w:p w14:paraId="1FFA3096"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ab/>
        <w:t>For this study secondary data has been collected. From the website of KSE the monthly stock prices for the sample firms are obtained from Jan 2010 to Dec 2014. And from the website of SBP the data for the macroeconomic variables are collected for the period of five years. The time series monthly data</w:t>
      </w:r>
      <w:r w:rsidRPr="00CF4999">
        <w:rPr>
          <w:rFonts w:ascii="Times New Roman" w:hAnsi="Times New Roman" w:cs="Times New Roman"/>
          <w:lang w:val="en-GB"/>
        </w:rPr>
        <w:t xml:space="preserve"> is collected on stock prices for sample firms</w:t>
      </w:r>
      <w:r w:rsidRPr="00CF4999">
        <w:rPr>
          <w:rFonts w:ascii="Times New Roman" w:hAnsi="Times New Roman" w:cs="Times New Roman"/>
        </w:rPr>
        <w:t>and relative macroeconomic variables for the period of 5 years. The data collection period is ranging from January 2010 to Dec 2014. Monthly prices of KSE -100 Index is taken from yahoo finance.</w:t>
      </w:r>
    </w:p>
    <w:p w14:paraId="5C26AEB7" w14:textId="77777777" w:rsidR="00CF4999" w:rsidRPr="00CF4999" w:rsidRDefault="00CF4999" w:rsidP="00CF4999">
      <w:pPr>
        <w:rPr>
          <w:rFonts w:ascii="Times New Roman" w:hAnsi="Times New Roman" w:cs="Times New Roman"/>
          <w:b/>
          <w:bCs/>
        </w:rPr>
      </w:pPr>
    </w:p>
    <w:p w14:paraId="530977DC" w14:textId="77777777" w:rsidR="00CF4999" w:rsidRPr="00CF4999" w:rsidRDefault="00CF4999" w:rsidP="00CF4999">
      <w:pPr>
        <w:rPr>
          <w:rFonts w:ascii="Times New Roman" w:hAnsi="Times New Roman" w:cs="Times New Roman"/>
          <w:b/>
          <w:bCs/>
        </w:rPr>
      </w:pPr>
      <w:r w:rsidRPr="00CF4999">
        <w:rPr>
          <w:rFonts w:ascii="Times New Roman" w:hAnsi="Times New Roman" w:cs="Times New Roman"/>
          <w:b/>
          <w:bCs/>
        </w:rPr>
        <w:t>3.3 Theoretical framework</w:t>
      </w:r>
    </w:p>
    <w:p w14:paraId="2D481F1F" w14:textId="7A59166F" w:rsidR="00CF4999" w:rsidRPr="00CF4999" w:rsidRDefault="00CF4999" w:rsidP="00CF4999">
      <w:pPr>
        <w:rPr>
          <w:rFonts w:ascii="Times New Roman" w:hAnsi="Times New Roman" w:cs="Times New Roman"/>
        </w:rPr>
      </w:pPr>
      <w:r w:rsidRPr="00CF4999">
        <w:rPr>
          <w:rFonts w:ascii="Times New Roman" w:hAnsi="Times New Roman" w:cs="Times New Roman"/>
        </w:rPr>
        <w:tab/>
        <w:t>Variables of the study contains dependent and independent variable. The study used pre-specified method for the selection of</w:t>
      </w:r>
      <w:r>
        <w:rPr>
          <w:rFonts w:ascii="Times New Roman" w:hAnsi="Times New Roman" w:cs="Times New Roman"/>
        </w:rPr>
        <w:t xml:space="preserve"> </w:t>
      </w:r>
      <w:r w:rsidRPr="00CF4999">
        <w:rPr>
          <w:rFonts w:ascii="Times New Roman" w:hAnsi="Times New Roman" w:cs="Times New Roman"/>
        </w:rPr>
        <w:t>variables. The study used the Stock returns are as dependent variable. From the share price of the firm the Stock returns are calculated. Rate of a stock salable at stock market is known as stock price.</w:t>
      </w:r>
    </w:p>
    <w:p w14:paraId="42DEA6D4" w14:textId="77777777" w:rsidR="00CF4999" w:rsidRPr="00CF4999" w:rsidRDefault="00CF4999" w:rsidP="00CF4999">
      <w:pPr>
        <w:rPr>
          <w:rFonts w:ascii="Times New Roman" w:hAnsi="Times New Roman" w:cs="Times New Roman"/>
        </w:rPr>
      </w:pPr>
    </w:p>
    <w:p w14:paraId="534F9516" w14:textId="5ABA9121" w:rsidR="00CF4999" w:rsidRPr="009B055D" w:rsidRDefault="00CF4999" w:rsidP="00CF4999">
      <w:pPr>
        <w:rPr>
          <w:rFonts w:ascii="Times New Roman" w:hAnsi="Times New Roman" w:cs="Times New Roman"/>
          <w:b/>
          <w:bCs/>
        </w:rPr>
      </w:pPr>
      <w:r w:rsidRPr="00CF4999">
        <w:rPr>
          <w:rFonts w:ascii="Times New Roman" w:hAnsi="Times New Roman" w:cs="Times New Roman"/>
          <w:b/>
          <w:bCs/>
        </w:rPr>
        <w:t>RESEARCH METHODOLOGY</w:t>
      </w:r>
    </w:p>
    <w:p w14:paraId="2F174C61" w14:textId="6092C9EB" w:rsidR="00CF4999" w:rsidRPr="00CF4999" w:rsidRDefault="00CF4999" w:rsidP="00CF4999">
      <w:pPr>
        <w:rPr>
          <w:rFonts w:ascii="Times New Roman" w:hAnsi="Times New Roman" w:cs="Times New Roman"/>
        </w:rPr>
      </w:pPr>
      <w:r w:rsidRPr="00CF4999">
        <w:rPr>
          <w:rFonts w:ascii="Times New Roman" w:hAnsi="Times New Roman" w:cs="Times New Roman"/>
        </w:rPr>
        <w:t>The methodology section outline the plan and method that how the study is conducted. This includes Universe of the study, sample of the study,</w:t>
      </w:r>
      <w:r>
        <w:rPr>
          <w:rFonts w:ascii="Times New Roman" w:hAnsi="Times New Roman" w:cs="Times New Roman"/>
        </w:rPr>
        <w:t xml:space="preserve"> </w:t>
      </w:r>
      <w:r w:rsidRPr="00CF4999">
        <w:rPr>
          <w:rFonts w:ascii="Times New Roman" w:hAnsi="Times New Roman" w:cs="Times New Roman"/>
          <w:bCs/>
        </w:rPr>
        <w:t>Data and Sources of Data</w:t>
      </w:r>
      <w:r w:rsidRPr="00CF4999">
        <w:rPr>
          <w:rFonts w:ascii="Times New Roman" w:hAnsi="Times New Roman" w:cs="Times New Roman"/>
        </w:rPr>
        <w:t>, study’s variables and analytical framework. The details</w:t>
      </w:r>
      <w:r>
        <w:rPr>
          <w:rFonts w:ascii="Times New Roman" w:hAnsi="Times New Roman" w:cs="Times New Roman"/>
        </w:rPr>
        <w:t xml:space="preserve"> </w:t>
      </w:r>
      <w:r w:rsidRPr="00CF4999">
        <w:rPr>
          <w:rFonts w:ascii="Times New Roman" w:hAnsi="Times New Roman" w:cs="Times New Roman"/>
        </w:rPr>
        <w:t>are as follows;</w:t>
      </w:r>
    </w:p>
    <w:p w14:paraId="2BD9E17B" w14:textId="77777777" w:rsidR="00CF4999" w:rsidRPr="00CF4999" w:rsidRDefault="00CF4999" w:rsidP="00CF4999">
      <w:pPr>
        <w:rPr>
          <w:rFonts w:ascii="Times New Roman" w:hAnsi="Times New Roman" w:cs="Times New Roman"/>
        </w:rPr>
      </w:pPr>
    </w:p>
    <w:p w14:paraId="60AC0705" w14:textId="77777777" w:rsidR="00CF4999" w:rsidRPr="00CF4999" w:rsidRDefault="00CF4999" w:rsidP="00CF4999">
      <w:pPr>
        <w:rPr>
          <w:rFonts w:ascii="Times New Roman" w:hAnsi="Times New Roman" w:cs="Times New Roman"/>
          <w:b/>
          <w:bCs/>
        </w:rPr>
      </w:pPr>
      <w:r w:rsidRPr="00CF4999">
        <w:rPr>
          <w:rFonts w:ascii="Times New Roman" w:hAnsi="Times New Roman" w:cs="Times New Roman"/>
          <w:b/>
          <w:bCs/>
        </w:rPr>
        <w:t>3.1</w:t>
      </w:r>
      <w:r w:rsidRPr="00CF4999">
        <w:rPr>
          <w:rFonts w:ascii="Times New Roman" w:hAnsi="Times New Roman" w:cs="Times New Roman"/>
          <w:b/>
        </w:rPr>
        <w:t xml:space="preserve">Population and Sample </w:t>
      </w:r>
    </w:p>
    <w:p w14:paraId="429634C4" w14:textId="17A51288" w:rsidR="00CF4999" w:rsidRPr="00CF4999" w:rsidRDefault="00CF4999" w:rsidP="00CF4999">
      <w:pPr>
        <w:rPr>
          <w:rFonts w:ascii="Times New Roman" w:hAnsi="Times New Roman" w:cs="Times New Roman"/>
        </w:rPr>
      </w:pPr>
      <w:r w:rsidRPr="00CF4999">
        <w:rPr>
          <w:rFonts w:ascii="Times New Roman" w:hAnsi="Times New Roman" w:cs="Times New Roman"/>
        </w:rPr>
        <w:tab/>
      </w:r>
      <w:r w:rsidR="00E1130F" w:rsidRPr="00E1130F">
        <w:rPr>
          <w:rFonts w:ascii="Times New Roman" w:hAnsi="Times New Roman" w:cs="Times New Roman"/>
        </w:rPr>
        <w:t xml:space="preserve">The demand for these technologies is soaring, with the global medical wearables market expected to hit $60 billion by 2026, fueled by the need for remote monitoring and better management of long-term conditions in children [4]. In places like rural India, where families often travel hours to see a specialist, wearables can bridge the gap, giving parents peace of mind and doctors real-time data to act on [5]. This paper dives into how wearables are being used in pediatric surgery and urology, exploring the technology </w:t>
      </w:r>
      <w:r w:rsidR="00E1130F" w:rsidRPr="00E1130F">
        <w:rPr>
          <w:rFonts w:ascii="Times New Roman" w:hAnsi="Times New Roman" w:cs="Times New Roman"/>
        </w:rPr>
        <w:lastRenderedPageBreak/>
        <w:t>behind them, their real-world impact, the obstacles we face, and what’s on the horizon for improving care for our youngest patients.</w:t>
      </w:r>
    </w:p>
    <w:p w14:paraId="177316E7" w14:textId="478483C7" w:rsidR="00CF4999" w:rsidRPr="00CF4999" w:rsidRDefault="00CF4999" w:rsidP="00CF4999">
      <w:pPr>
        <w:rPr>
          <w:rFonts w:ascii="Times New Roman" w:hAnsi="Times New Roman" w:cs="Times New Roman"/>
        </w:rPr>
      </w:pPr>
      <w:r w:rsidRPr="00CF4999">
        <w:rPr>
          <w:rFonts w:ascii="Times New Roman" w:hAnsi="Times New Roman" w:cs="Times New Roman"/>
        </w:rPr>
        <w:tab/>
        <w:t>The study comprised of non-financial companies listed at KSE-100 Index and 30 actively traded companies are selected on the bases of market capitalization.</w:t>
      </w:r>
      <w:r>
        <w:rPr>
          <w:rFonts w:ascii="Times New Roman" w:hAnsi="Times New Roman" w:cs="Times New Roman"/>
        </w:rPr>
        <w:t xml:space="preserve"> </w:t>
      </w:r>
      <w:r w:rsidRPr="00CF4999">
        <w:rPr>
          <w:rFonts w:ascii="Times New Roman" w:hAnsi="Times New Roman" w:cs="Times New Roman"/>
        </w:rPr>
        <w:t>And 2015 is taken as base year for KSE-100 index.</w:t>
      </w:r>
    </w:p>
    <w:p w14:paraId="35424B46" w14:textId="77777777" w:rsidR="00CF4999" w:rsidRPr="00CF4999" w:rsidRDefault="00CF4999" w:rsidP="00CF4999">
      <w:pPr>
        <w:rPr>
          <w:rFonts w:ascii="Times New Roman" w:hAnsi="Times New Roman" w:cs="Times New Roman"/>
          <w:lang w:val="en-GB"/>
        </w:rPr>
      </w:pPr>
    </w:p>
    <w:p w14:paraId="4B4E8E7A" w14:textId="77777777" w:rsidR="00CF4999" w:rsidRPr="00CF4999" w:rsidRDefault="00CF4999" w:rsidP="00CF4999">
      <w:pPr>
        <w:rPr>
          <w:rFonts w:ascii="Times New Roman" w:hAnsi="Times New Roman" w:cs="Times New Roman"/>
        </w:rPr>
      </w:pPr>
      <w:r w:rsidRPr="00CF4999">
        <w:rPr>
          <w:rFonts w:ascii="Times New Roman" w:hAnsi="Times New Roman" w:cs="Times New Roman"/>
          <w:b/>
          <w:bCs/>
        </w:rPr>
        <w:t>3.2 Data and Sources of Data</w:t>
      </w:r>
    </w:p>
    <w:p w14:paraId="1FBCB431"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ab/>
        <w:t>For this study secondary data has been collected. From the website of KSE the monthly stock prices for the sample firms are obtained from Jan 2010 to Dec 2014. And from the website of SBP the data for the macroeconomic variables are collected for the period of five years. The time series monthly data</w:t>
      </w:r>
      <w:r w:rsidRPr="00CF4999">
        <w:rPr>
          <w:rFonts w:ascii="Times New Roman" w:hAnsi="Times New Roman" w:cs="Times New Roman"/>
          <w:lang w:val="en-GB"/>
        </w:rPr>
        <w:t xml:space="preserve"> is collected on stock prices for sample firms</w:t>
      </w:r>
      <w:r w:rsidRPr="00CF4999">
        <w:rPr>
          <w:rFonts w:ascii="Times New Roman" w:hAnsi="Times New Roman" w:cs="Times New Roman"/>
        </w:rPr>
        <w:t>and relative macroeconomic variables for the period of 5 years. The data collection period is ranging from January 2010 to Dec 2014. Monthly prices of KSE -100 Index is taken from yahoo finance.</w:t>
      </w:r>
    </w:p>
    <w:p w14:paraId="2559756C" w14:textId="77777777" w:rsidR="00CF4999" w:rsidRPr="00CF4999" w:rsidRDefault="00CF4999" w:rsidP="00CF4999">
      <w:pPr>
        <w:rPr>
          <w:rFonts w:ascii="Times New Roman" w:hAnsi="Times New Roman" w:cs="Times New Roman"/>
          <w:b/>
          <w:bCs/>
        </w:rPr>
      </w:pPr>
    </w:p>
    <w:p w14:paraId="73FA7DDB" w14:textId="77777777" w:rsidR="00CF4999" w:rsidRPr="00CF4999" w:rsidRDefault="00CF4999" w:rsidP="00CF4999">
      <w:pPr>
        <w:rPr>
          <w:rFonts w:ascii="Times New Roman" w:hAnsi="Times New Roman" w:cs="Times New Roman"/>
          <w:b/>
          <w:bCs/>
        </w:rPr>
      </w:pPr>
      <w:r w:rsidRPr="00CF4999">
        <w:rPr>
          <w:rFonts w:ascii="Times New Roman" w:hAnsi="Times New Roman" w:cs="Times New Roman"/>
          <w:b/>
          <w:bCs/>
        </w:rPr>
        <w:t>3.3 Theoretical framework</w:t>
      </w:r>
    </w:p>
    <w:p w14:paraId="6BBB41A7" w14:textId="5A791AC0" w:rsidR="00CF4999" w:rsidRPr="00CF4999" w:rsidRDefault="00CF4999" w:rsidP="00CF4999">
      <w:pPr>
        <w:rPr>
          <w:rFonts w:ascii="Times New Roman" w:hAnsi="Times New Roman" w:cs="Times New Roman"/>
        </w:rPr>
      </w:pPr>
      <w:r w:rsidRPr="00CF4999">
        <w:rPr>
          <w:rFonts w:ascii="Times New Roman" w:hAnsi="Times New Roman" w:cs="Times New Roman"/>
        </w:rPr>
        <w:tab/>
      </w:r>
      <w:r w:rsidR="00E1130F" w:rsidRPr="00E1130F">
        <w:rPr>
          <w:rFonts w:ascii="Times New Roman" w:hAnsi="Times New Roman" w:cs="Times New Roman"/>
        </w:rPr>
        <w:t>The demand for these technologies is soaring, with the global medical wearables market expected to hit $60 billion by 2026, fueled by the need for remote monitoring and better management of long-term conditions in children [4]. In places like rural India, where families often travel hours to see a specialist, wearables can bridge the gap, giving parents peace of mind and doctors real-time data to act on [5]. This paper dives into how wearables are being used in pediatric surgery and urology, exploring the technology behind them, their real-world impact, the obstacles we face, and what’s on the horizon for improving care for our youngest patients.</w:t>
      </w:r>
    </w:p>
    <w:p w14:paraId="09D290B1" w14:textId="77777777" w:rsidR="00CF4999" w:rsidRPr="00CF4999" w:rsidRDefault="00CF4999" w:rsidP="00CF4999">
      <w:pPr>
        <w:rPr>
          <w:rFonts w:ascii="Times New Roman" w:hAnsi="Times New Roman" w:cs="Times New Roman"/>
        </w:rPr>
      </w:pPr>
    </w:p>
    <w:p w14:paraId="6E0594DD" w14:textId="77777777" w:rsidR="00CF4999" w:rsidRPr="00CF4999" w:rsidRDefault="00CF4999" w:rsidP="00CF4999">
      <w:pPr>
        <w:rPr>
          <w:rFonts w:ascii="Times New Roman" w:hAnsi="Times New Roman" w:cs="Times New Roman"/>
          <w:bCs/>
        </w:rPr>
      </w:pPr>
      <w:r w:rsidRPr="00CF4999">
        <w:rPr>
          <w:rFonts w:ascii="Times New Roman" w:hAnsi="Times New Roman" w:cs="Times New Roman"/>
          <w:bCs/>
        </w:rPr>
        <w:tab/>
        <w:t>Systematic risk is the only independent variable for the CAPM and inflation, interest rate, oil prices and exchange rate are the independent variables for APT model.</w:t>
      </w:r>
    </w:p>
    <w:p w14:paraId="672CD5D3" w14:textId="77777777" w:rsidR="00CF4999" w:rsidRPr="00CF4999" w:rsidRDefault="00CF4999" w:rsidP="00CF4999">
      <w:pPr>
        <w:rPr>
          <w:rFonts w:ascii="Times New Roman" w:hAnsi="Times New Roman" w:cs="Times New Roman"/>
          <w:bCs/>
        </w:rPr>
      </w:pPr>
    </w:p>
    <w:p w14:paraId="3E13DD17" w14:textId="39DDD0C0" w:rsidR="00CF4999" w:rsidRPr="00CF4999" w:rsidRDefault="00E1130F" w:rsidP="00CF4999">
      <w:pPr>
        <w:rPr>
          <w:rFonts w:ascii="Times New Roman" w:hAnsi="Times New Roman" w:cs="Times New Roman"/>
          <w:bCs/>
        </w:rPr>
      </w:pPr>
      <w:r w:rsidRPr="00E1130F">
        <w:rPr>
          <w:rFonts w:ascii="Times New Roman" w:hAnsi="Times New Roman" w:cs="Times New Roman"/>
          <w:bCs/>
        </w:rPr>
        <w:t>The demand for these technologies is soaring, with the global medical wearables market expected to hit $60 billion by 2026, fueled by the need for remote monitoring and better management of long-term conditions in children [4]. In places like rural India, where families often travel hours to see a specialist, wearables can bridge the gap, giving parents peace of mind and doctors real-time data to act on [5]. This paper dives into how wearables are being used in pediatric surgery and urology, exploring the technology behind them, their real-world impact, the obstacles we face, and what’s on the horizon for improving care for our youngest patients.</w:t>
      </w:r>
    </w:p>
    <w:p w14:paraId="1B15823D" w14:textId="77777777" w:rsidR="00CF4999" w:rsidRPr="00CF4999" w:rsidRDefault="00CF4999" w:rsidP="00CF4999">
      <w:pPr>
        <w:rPr>
          <w:rFonts w:ascii="Times New Roman" w:hAnsi="Times New Roman" w:cs="Times New Roman"/>
          <w:b/>
        </w:rPr>
      </w:pPr>
    </w:p>
    <w:p w14:paraId="2332318F" w14:textId="28630DEA" w:rsidR="00CF4999" w:rsidRPr="00CF4999" w:rsidRDefault="00CF4999" w:rsidP="00CF4999">
      <w:pPr>
        <w:rPr>
          <w:rFonts w:ascii="Times New Roman" w:hAnsi="Times New Roman" w:cs="Times New Roman"/>
        </w:rPr>
      </w:pPr>
      <w:r w:rsidRPr="00CF4999">
        <w:rPr>
          <w:rFonts w:ascii="Times New Roman" w:hAnsi="Times New Roman" w:cs="Times New Roman"/>
        </w:rPr>
        <w:tab/>
        <w:t>Exchange rate is a rate at which one currency exchanged with another currency. Nominal effective exchange rate (Pak Rupee/U.S.D) is taken in this study.</w:t>
      </w:r>
      <w:r>
        <w:rPr>
          <w:rFonts w:ascii="Times New Roman" w:hAnsi="Times New Roman" w:cs="Times New Roman"/>
        </w:rPr>
        <w:t xml:space="preserve"> </w:t>
      </w:r>
      <w:r w:rsidRPr="00CF4999">
        <w:rPr>
          <w:rFonts w:ascii="Times New Roman" w:hAnsi="Times New Roman" w:cs="Times New Roman"/>
          <w:bCs/>
        </w:rPr>
        <w:t xml:space="preserve">This is assumed that decrease in the home currency </w:t>
      </w:r>
      <w:r w:rsidRPr="00CF4999">
        <w:rPr>
          <w:rFonts w:ascii="Times New Roman" w:hAnsi="Times New Roman" w:cs="Times New Roman"/>
          <w:bCs/>
        </w:rPr>
        <w:lastRenderedPageBreak/>
        <w:t>is inversely</w:t>
      </w:r>
      <w:r>
        <w:rPr>
          <w:rFonts w:ascii="Times New Roman" w:hAnsi="Times New Roman" w:cs="Times New Roman"/>
          <w:bCs/>
        </w:rPr>
        <w:t xml:space="preserve"> </w:t>
      </w:r>
      <w:r w:rsidRPr="00CF4999">
        <w:rPr>
          <w:rFonts w:ascii="Times New Roman" w:hAnsi="Times New Roman" w:cs="Times New Roman"/>
          <w:bCs/>
        </w:rPr>
        <w:t xml:space="preserve">associated to share prices (Jecheche,2010). </w:t>
      </w:r>
      <w:r w:rsidRPr="00CF4999">
        <w:rPr>
          <w:rFonts w:ascii="Times New Roman" w:hAnsi="Times New Roman" w:cs="Times New Roman"/>
        </w:rPr>
        <w:t xml:space="preserve"> Pan et al. (2007) studied exchange rate and its dynamic relationship with share prices in seven East Asian </w:t>
      </w:r>
    </w:p>
    <w:p w14:paraId="57A3F4CB" w14:textId="77777777" w:rsidR="00CF4999" w:rsidRPr="00CF4999" w:rsidRDefault="00CF4999" w:rsidP="00CF4999">
      <w:pPr>
        <w:rPr>
          <w:rFonts w:ascii="Times New Roman" w:hAnsi="Times New Roman" w:cs="Times New Roman"/>
        </w:rPr>
      </w:pPr>
    </w:p>
    <w:p w14:paraId="605C5066" w14:textId="77777777" w:rsidR="00B20EB8" w:rsidRPr="00B20EB8" w:rsidRDefault="00B20EB8" w:rsidP="00B20EB8">
      <w:pPr>
        <w:rPr>
          <w:rFonts w:ascii="Times New Roman" w:hAnsi="Times New Roman" w:cs="Times New Roman"/>
        </w:rPr>
      </w:pPr>
      <w:r w:rsidRPr="00B20EB8">
        <w:rPr>
          <w:rFonts w:ascii="Times New Roman" w:hAnsi="Times New Roman" w:cs="Times New Roman"/>
        </w:rPr>
        <w:t>Job satisfaction is a pleasurable or positive emotional state resulting from the appraisal of one’s job or job experiences (Locke, 1976). It incorporates employees’ evaluations of work content, rewards, conditions, recognition, development opportunities, and workplace relationships. Spector (1997) emphasizes that satisfaction is both an overall attitude and a set of evaluations concerning specific job facets.</w:t>
      </w:r>
    </w:p>
    <w:p w14:paraId="5085300C" w14:textId="1DA8711D" w:rsidR="00B20EB8" w:rsidRPr="00B20EB8" w:rsidRDefault="00E1130F" w:rsidP="00B20EB8">
      <w:pPr>
        <w:rPr>
          <w:rFonts w:ascii="Times New Roman" w:hAnsi="Times New Roman" w:cs="Times New Roman"/>
        </w:rPr>
      </w:pPr>
      <w:r w:rsidRPr="00E1130F">
        <w:rPr>
          <w:rFonts w:ascii="Times New Roman" w:hAnsi="Times New Roman" w:cs="Times New Roman"/>
        </w:rPr>
        <w:t>The demand for these technologies is soaring, with the global medical wearables market expected to hit $60 billion by 2026, fueled by the need for remote monitoring and better management of long-term conditions in children [4]. In places like rural India, where families often travel hours to see a specialist, wearables can bridge the gap, giving parents peace of mind and doctors real-time data to act on [5]. This paper dives into how wearables are being used in pediatric surgery and urology, exploring the technology behind them, their real-world impact, the obstacles we face, and what’s on the horizon for improving care for our youngest patients.</w:t>
      </w:r>
    </w:p>
    <w:p w14:paraId="4E456229" w14:textId="77777777" w:rsidR="00CF4999" w:rsidRPr="00CF4999" w:rsidRDefault="00CF4999" w:rsidP="00CF4999">
      <w:pPr>
        <w:rPr>
          <w:rFonts w:ascii="Times New Roman" w:hAnsi="Times New Roman" w:cs="Times New Roman"/>
          <w:bCs/>
        </w:rPr>
      </w:pPr>
    </w:p>
    <w:p w14:paraId="56D3ACF7" w14:textId="014E5A9A" w:rsidR="00CF4999" w:rsidRPr="00CF4999" w:rsidRDefault="00CF4999" w:rsidP="00CF4999">
      <w:pPr>
        <w:rPr>
          <w:rFonts w:ascii="Times New Roman" w:hAnsi="Times New Roman" w:cs="Times New Roman"/>
          <w:b/>
          <w:bCs/>
          <w:i/>
        </w:rPr>
      </w:pPr>
      <w:r w:rsidRPr="00CF4999">
        <w:rPr>
          <w:rFonts w:ascii="Times New Roman" w:hAnsi="Times New Roman" w:cs="Times New Roman"/>
        </w:rPr>
        <w:tab/>
      </w:r>
      <w:r w:rsidR="00E1130F" w:rsidRPr="00E1130F">
        <w:rPr>
          <w:rFonts w:ascii="Times New Roman" w:hAnsi="Times New Roman" w:cs="Times New Roman"/>
        </w:rPr>
        <w:t>The demand for these technologies is soaring, with the global medical wearables market expected to hit $60 billion by 2026, fueled by the need for remote monitoring and better management of long-term conditions in children [4]. In places like rural India, where families often travel hours to see a specialist, wearables can bridge the gap, giving parents peace of mind and doctors real-time data to act on [5]. This paper dives into how wearables are being used in pediatric surgery and urology, exploring the technology behind them, their real-world impact, the obstacles we face, and what’s on the horizon for improving care for our youngest patients.</w:t>
      </w:r>
    </w:p>
    <w:p w14:paraId="119F530E" w14:textId="77777777" w:rsidR="00CF4999" w:rsidRPr="00CF4999" w:rsidRDefault="00CF4999" w:rsidP="00CF4999">
      <w:pPr>
        <w:rPr>
          <w:rFonts w:ascii="Times New Roman" w:hAnsi="Times New Roman" w:cs="Times New Roman"/>
          <w:b/>
          <w:bCs/>
        </w:rPr>
      </w:pPr>
    </w:p>
    <w:p w14:paraId="2841F2F7" w14:textId="77777777" w:rsidR="00CF4999" w:rsidRPr="00CF4999" w:rsidRDefault="00CF4999" w:rsidP="00CF4999">
      <w:pPr>
        <w:rPr>
          <w:rFonts w:ascii="Times New Roman" w:hAnsi="Times New Roman" w:cs="Times New Roman"/>
          <w:b/>
          <w:bCs/>
        </w:rPr>
      </w:pPr>
      <w:r w:rsidRPr="00CF4999">
        <w:rPr>
          <w:rFonts w:ascii="Times New Roman" w:hAnsi="Times New Roman" w:cs="Times New Roman"/>
          <w:b/>
          <w:bCs/>
        </w:rPr>
        <w:t>3.4Statistical tools and econometric models</w:t>
      </w:r>
    </w:p>
    <w:p w14:paraId="0512AE06"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ab/>
        <w:t>This section elaborates the proper statistical/econometric/financial models which are being used to forward the study from data towards inferences. The detail of methodology is given as follows.</w:t>
      </w:r>
    </w:p>
    <w:p w14:paraId="38AAC9D0" w14:textId="77777777" w:rsidR="00CF4999" w:rsidRPr="00CF4999" w:rsidRDefault="00CF4999" w:rsidP="00CF4999">
      <w:pPr>
        <w:rPr>
          <w:rFonts w:ascii="Times New Roman" w:hAnsi="Times New Roman" w:cs="Times New Roman"/>
          <w:b/>
          <w:bCs/>
        </w:rPr>
      </w:pPr>
      <w:r w:rsidRPr="00CF4999">
        <w:rPr>
          <w:rFonts w:ascii="Times New Roman" w:hAnsi="Times New Roman" w:cs="Times New Roman"/>
          <w:b/>
        </w:rPr>
        <w:t>3.4.1 Descriptive Statistics</w:t>
      </w:r>
    </w:p>
    <w:p w14:paraId="0B0CFBCB"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ab/>
        <w:t xml:space="preserve">Descriptive Statics </w:t>
      </w:r>
      <w:r w:rsidRPr="00CF4999">
        <w:rPr>
          <w:rFonts w:ascii="Times New Roman" w:hAnsi="Times New Roman" w:cs="Times New Roman"/>
          <w:bCs/>
        </w:rPr>
        <w:t>has been used to find the maximum, minimum, standard deviation, mean and normally distribution of the data of all the variables of the study. Normal distribution of data shows the sensitivity of the variables towards the periodic changes and speculation. When the data is not normally distributed it means that the data is sensitive towards periodic changes and speculations which create the chances of arbitrage and the investors have the chance to earn above the normal profit. But the assumption of the APT is that there should not be arbitrage in the market and the investors can earn only normal profit. Jarque bera test is used to test the normality of data.</w:t>
      </w:r>
    </w:p>
    <w:p w14:paraId="0C245C50" w14:textId="77777777" w:rsidR="00CF4999" w:rsidRPr="00CF4999" w:rsidRDefault="00CF4999" w:rsidP="00CF4999">
      <w:pPr>
        <w:rPr>
          <w:rFonts w:ascii="Times New Roman" w:hAnsi="Times New Roman" w:cs="Times New Roman"/>
          <w:b/>
        </w:rPr>
      </w:pPr>
    </w:p>
    <w:p w14:paraId="69F61A10" w14:textId="77777777" w:rsidR="00CF4999" w:rsidRPr="00CF4999" w:rsidRDefault="00CF4999" w:rsidP="00CF4999">
      <w:pPr>
        <w:rPr>
          <w:rFonts w:ascii="Times New Roman" w:hAnsi="Times New Roman" w:cs="Times New Roman"/>
          <w:b/>
        </w:rPr>
      </w:pPr>
      <w:r w:rsidRPr="00CF4999">
        <w:rPr>
          <w:rFonts w:ascii="Times New Roman" w:hAnsi="Times New Roman" w:cs="Times New Roman"/>
          <w:b/>
        </w:rPr>
        <w:t>3.4.2 Fama-Mcbeth two pass regression</w:t>
      </w:r>
      <w:r w:rsidRPr="00CF4999">
        <w:rPr>
          <w:rFonts w:ascii="Times New Roman" w:hAnsi="Times New Roman" w:cs="Times New Roman"/>
          <w:b/>
        </w:rPr>
        <w:tab/>
      </w:r>
    </w:p>
    <w:p w14:paraId="2152D013" w14:textId="5236051F" w:rsidR="00CF4999" w:rsidRPr="00CF4999" w:rsidRDefault="00CF4999" w:rsidP="00CF4999">
      <w:pPr>
        <w:rPr>
          <w:rFonts w:ascii="Times New Roman" w:hAnsi="Times New Roman" w:cs="Times New Roman"/>
        </w:rPr>
      </w:pPr>
      <w:r w:rsidRPr="00CF4999">
        <w:rPr>
          <w:rFonts w:ascii="Times New Roman" w:hAnsi="Times New Roman" w:cs="Times New Roman"/>
        </w:rPr>
        <w:lastRenderedPageBreak/>
        <w:tab/>
        <w:t>After the test statistics the methodology is following the next step in order to test the asset pricing models. When testing asset pricing models related to risk premium on asset to their betas, the primary question of interest is whether the beta risk of particular factor is priced. Fama and McBeth(1973)develop a two pass methodology in which the beta of each asset with respect to a factor is estimated in a first pass time series regression and estimated betas are then used in second pass cross sectional regression to estimate the risk premium of the factor. According to Blum (1968) testing two-parameter models immediately presents an unavoidable errors-in-the variables problem.</w:t>
      </w:r>
      <w:r>
        <w:rPr>
          <w:rFonts w:ascii="Times New Roman" w:hAnsi="Times New Roman" w:cs="Times New Roman"/>
        </w:rPr>
        <w:t xml:space="preserve"> </w:t>
      </w:r>
      <w:r w:rsidRPr="00CF4999">
        <w:rPr>
          <w:rFonts w:ascii="Times New Roman" w:hAnsi="Times New Roman" w:cs="Times New Roman"/>
        </w:rPr>
        <w:t>It is important to note that portfolios (rather than individual assets) are used for the reason of making the analysis statistically feasible.</w:t>
      </w:r>
      <w:r>
        <w:rPr>
          <w:rFonts w:ascii="Times New Roman" w:hAnsi="Times New Roman" w:cs="Times New Roman"/>
        </w:rPr>
        <w:t xml:space="preserve"> </w:t>
      </w:r>
      <w:r w:rsidRPr="00CF4999">
        <w:rPr>
          <w:rFonts w:ascii="Times New Roman" w:hAnsi="Times New Roman" w:cs="Times New Roman"/>
        </w:rPr>
        <w:t>Fama McBeth regression is used to attenuate the problem of errors-in-variables (EIV) for two parameter models (Campbell, Lo and MacKinlay, 1997).If the errors are in the β (beta)of individual security are not perfectly positively correlated, the β of portfolios can be much more precise estimates of the true β (Blum, 1968).</w:t>
      </w:r>
    </w:p>
    <w:p w14:paraId="010530D6" w14:textId="0B51DC18" w:rsidR="00CF4999" w:rsidRPr="00CF4999" w:rsidRDefault="00CF4999" w:rsidP="00CF4999">
      <w:pPr>
        <w:rPr>
          <w:rFonts w:ascii="Times New Roman" w:hAnsi="Times New Roman" w:cs="Times New Roman"/>
        </w:rPr>
      </w:pPr>
      <w:r w:rsidRPr="00CF4999">
        <w:rPr>
          <w:rFonts w:ascii="Times New Roman" w:hAnsi="Times New Roman" w:cs="Times New Roman"/>
        </w:rPr>
        <w:tab/>
        <w:t>The study follow Fama and McBeth two pass regression</w:t>
      </w:r>
      <w:r>
        <w:rPr>
          <w:rFonts w:ascii="Times New Roman" w:hAnsi="Times New Roman" w:cs="Times New Roman"/>
        </w:rPr>
        <w:t xml:space="preserve"> </w:t>
      </w:r>
      <w:r w:rsidRPr="00CF4999">
        <w:rPr>
          <w:rFonts w:ascii="Times New Roman" w:hAnsi="Times New Roman" w:cs="Times New Roman"/>
        </w:rPr>
        <w:t>to test these asset pricing models.</w:t>
      </w:r>
      <w:r>
        <w:rPr>
          <w:rFonts w:ascii="Times New Roman" w:hAnsi="Times New Roman" w:cs="Times New Roman"/>
        </w:rPr>
        <w:t xml:space="preserve"> </w:t>
      </w:r>
      <w:r w:rsidRPr="00CF4999">
        <w:rPr>
          <w:rFonts w:ascii="Times New Roman" w:hAnsi="Times New Roman" w:cs="Times New Roman"/>
        </w:rPr>
        <w:t>The Durbin Watson is used to check serial correlation and measures the linear association between adjacent residuals from a regression model. If there is no serial correlation, the DW statistic will be around 2. The DW statistic will fall if there is positive serial correlation (in worst case, it will be near zero). If there is a negative correlation, the</w:t>
      </w:r>
      <w:r>
        <w:rPr>
          <w:rFonts w:ascii="Times New Roman" w:hAnsi="Times New Roman" w:cs="Times New Roman"/>
        </w:rPr>
        <w:t xml:space="preserve"> </w:t>
      </w:r>
      <w:r w:rsidRPr="00CF4999">
        <w:rPr>
          <w:rFonts w:ascii="Times New Roman" w:hAnsi="Times New Roman" w:cs="Times New Roman"/>
        </w:rPr>
        <w:t>statistic will lie somewhere between 2 and 4. Usually the limit for non-serial correlation is considered to be DW is from 1.8 to 2.2. A very strong positive serial correlation is considered at DW lower than 1.5 (</w:t>
      </w:r>
      <w:r w:rsidRPr="00CF4999">
        <w:rPr>
          <w:rFonts w:ascii="Times New Roman" w:hAnsi="Times New Roman" w:cs="Times New Roman"/>
          <w:lang w:val="en-GB"/>
        </w:rPr>
        <w:t>Richardson and smith, 1993)</w:t>
      </w:r>
      <w:r w:rsidRPr="00CF4999">
        <w:rPr>
          <w:rFonts w:ascii="Times New Roman" w:hAnsi="Times New Roman" w:cs="Times New Roman"/>
        </w:rPr>
        <w:t>.</w:t>
      </w:r>
    </w:p>
    <w:p w14:paraId="3F2F439B" w14:textId="77777777" w:rsidR="00CF4999" w:rsidRPr="00CF4999" w:rsidRDefault="00CF4999" w:rsidP="00CF4999">
      <w:pPr>
        <w:rPr>
          <w:rFonts w:ascii="Times New Roman" w:hAnsi="Times New Roman" w:cs="Times New Roman"/>
        </w:rPr>
      </w:pPr>
    </w:p>
    <w:p w14:paraId="13415E30"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ab/>
        <w:t xml:space="preserve">According to </w:t>
      </w:r>
      <w:r w:rsidRPr="00CF4999">
        <w:rPr>
          <w:rFonts w:ascii="Times New Roman" w:hAnsi="Times New Roman" w:cs="Times New Roman"/>
          <w:lang w:val="en-GB"/>
        </w:rPr>
        <w:t xml:space="preserve">Richardson and smith(1993) </w:t>
      </w:r>
      <w:r w:rsidRPr="00CF4999">
        <w:rPr>
          <w:rFonts w:ascii="Times New Roman" w:hAnsi="Times New Roman" w:cs="Times New Roman"/>
        </w:rPr>
        <w:t>to make the model more effective and efficient the selection criteria for the shares in the period are: Shares with no missing values in the period, Shares with adjusted R</w:t>
      </w:r>
      <w:r w:rsidRPr="00CF4999">
        <w:rPr>
          <w:rFonts w:ascii="Times New Roman" w:hAnsi="Times New Roman" w:cs="Times New Roman"/>
          <w:vertAlign w:val="superscript"/>
        </w:rPr>
        <w:t xml:space="preserve">2 </w:t>
      </w:r>
      <w:r w:rsidRPr="00CF4999">
        <w:rPr>
          <w:rFonts w:ascii="Times New Roman" w:hAnsi="Times New Roman" w:cs="Times New Roman"/>
        </w:rPr>
        <w:t xml:space="preserve">&lt; 0 or F significant (p-value) &gt;0.05of the first pass regression of the excess returns on the market risk premium are excluded. And Shares are grouped by alphabetic order into group of 30 individual securities (Roll and Ross, 1980). </w:t>
      </w:r>
    </w:p>
    <w:p w14:paraId="4DC72450" w14:textId="77777777" w:rsidR="00CF4999" w:rsidRPr="00CF4999" w:rsidRDefault="00CF4999" w:rsidP="00CF4999">
      <w:pPr>
        <w:rPr>
          <w:rFonts w:ascii="Times New Roman" w:hAnsi="Times New Roman" w:cs="Times New Roman"/>
          <w:b/>
          <w:bCs/>
        </w:rPr>
      </w:pPr>
    </w:p>
    <w:p w14:paraId="6BC8F8D6" w14:textId="77777777" w:rsidR="00CF4999" w:rsidRPr="00CF4999" w:rsidRDefault="00CF4999" w:rsidP="00CF4999">
      <w:pPr>
        <w:rPr>
          <w:rFonts w:ascii="Times New Roman" w:hAnsi="Times New Roman" w:cs="Times New Roman"/>
          <w:b/>
          <w:bCs/>
        </w:rPr>
      </w:pPr>
      <w:r w:rsidRPr="00CF4999">
        <w:rPr>
          <w:rFonts w:ascii="Times New Roman" w:hAnsi="Times New Roman" w:cs="Times New Roman"/>
          <w:b/>
          <w:bCs/>
        </w:rPr>
        <w:t>3.4.2.1 Model for CAPM</w:t>
      </w:r>
    </w:p>
    <w:p w14:paraId="3F1B80EC" w14:textId="79089231" w:rsidR="00CF4999" w:rsidRPr="00CF4999" w:rsidRDefault="00CF4999" w:rsidP="00CF4999">
      <w:pPr>
        <w:rPr>
          <w:rFonts w:ascii="Times New Roman" w:hAnsi="Times New Roman" w:cs="Times New Roman"/>
        </w:rPr>
      </w:pPr>
      <w:r w:rsidRPr="00CF4999">
        <w:rPr>
          <w:rFonts w:ascii="Times New Roman" w:hAnsi="Times New Roman" w:cs="Times New Roman"/>
        </w:rPr>
        <w:t>The excess returns R</w:t>
      </w:r>
      <w:r w:rsidRPr="00CF4999">
        <w:rPr>
          <w:rFonts w:ascii="Times New Roman" w:hAnsi="Times New Roman" w:cs="Times New Roman"/>
          <w:vertAlign w:val="subscript"/>
        </w:rPr>
        <w:t>i</w:t>
      </w:r>
      <w:r w:rsidRPr="00CF4999">
        <w:rPr>
          <w:rFonts w:ascii="Times New Roman" w:hAnsi="Times New Roman" w:cs="Times New Roman"/>
        </w:rPr>
        <w:t xml:space="preserve"> - R</w:t>
      </w:r>
      <w:r w:rsidRPr="00CF4999">
        <w:rPr>
          <w:rFonts w:ascii="Times New Roman" w:hAnsi="Times New Roman" w:cs="Times New Roman"/>
          <w:vertAlign w:val="subscript"/>
        </w:rPr>
        <w:t>f</w:t>
      </w:r>
      <w:r w:rsidRPr="00CF4999">
        <w:rPr>
          <w:rFonts w:ascii="Times New Roman" w:hAnsi="Times New Roman" w:cs="Times New Roman"/>
        </w:rPr>
        <w:t xml:space="preserve"> of each security is estimated from a time series share prices of KSE-100 index listed shares for each period under consideration. And for the same periodthe market Premium R</w:t>
      </w:r>
      <w:r w:rsidRPr="00CF4999">
        <w:rPr>
          <w:rFonts w:ascii="Times New Roman" w:hAnsi="Times New Roman" w:cs="Times New Roman"/>
          <w:vertAlign w:val="subscript"/>
        </w:rPr>
        <w:t>m</w:t>
      </w:r>
      <w:r w:rsidRPr="00CF4999">
        <w:rPr>
          <w:rFonts w:ascii="Times New Roman" w:hAnsi="Times New Roman" w:cs="Times New Roman"/>
        </w:rPr>
        <w:t xml:space="preserve"> - R</w:t>
      </w:r>
      <w:r w:rsidRPr="00CF4999">
        <w:rPr>
          <w:rFonts w:ascii="Times New Roman" w:hAnsi="Times New Roman" w:cs="Times New Roman"/>
          <w:vertAlign w:val="subscript"/>
        </w:rPr>
        <w:t>f</w:t>
      </w:r>
      <w:r w:rsidRPr="00CF4999">
        <w:rPr>
          <w:rFonts w:ascii="Times New Roman" w:hAnsi="Times New Roman" w:cs="Times New Roman"/>
        </w:rPr>
        <w:t>also estimated. After that regress the excess returns R</w:t>
      </w:r>
      <w:r w:rsidRPr="00CF4999">
        <w:rPr>
          <w:rFonts w:ascii="Times New Roman" w:hAnsi="Times New Roman" w:cs="Times New Roman"/>
          <w:vertAlign w:val="subscript"/>
        </w:rPr>
        <w:t>i</w:t>
      </w:r>
      <w:r w:rsidRPr="00CF4999">
        <w:rPr>
          <w:rFonts w:ascii="Times New Roman" w:hAnsi="Times New Roman" w:cs="Times New Roman"/>
        </w:rPr>
        <w:t xml:space="preserve"> - R</w:t>
      </w:r>
      <w:r w:rsidRPr="00CF4999">
        <w:rPr>
          <w:rFonts w:ascii="Times New Roman" w:hAnsi="Times New Roman" w:cs="Times New Roman"/>
          <w:vertAlign w:val="subscript"/>
        </w:rPr>
        <w:t>f</w:t>
      </w:r>
      <w:r w:rsidRPr="00CF4999">
        <w:rPr>
          <w:rFonts w:ascii="Times New Roman" w:hAnsi="Times New Roman" w:cs="Times New Roman"/>
        </w:rPr>
        <w:t xml:space="preserve"> on the market premium R</w:t>
      </w:r>
      <w:r w:rsidRPr="00CF4999">
        <w:rPr>
          <w:rFonts w:ascii="Times New Roman" w:hAnsi="Times New Roman" w:cs="Times New Roman"/>
          <w:vertAlign w:val="subscript"/>
        </w:rPr>
        <w:t>m</w:t>
      </w:r>
      <w:r w:rsidRPr="00CF4999">
        <w:rPr>
          <w:rFonts w:ascii="Times New Roman" w:hAnsi="Times New Roman" w:cs="Times New Roman"/>
        </w:rPr>
        <w:t xml:space="preserve"> - R</w:t>
      </w:r>
      <w:r w:rsidRPr="00CF4999">
        <w:rPr>
          <w:rFonts w:ascii="Times New Roman" w:hAnsi="Times New Roman" w:cs="Times New Roman"/>
          <w:vertAlign w:val="subscript"/>
        </w:rPr>
        <w:t>f</w:t>
      </w:r>
      <w:r w:rsidRPr="00CF4999">
        <w:rPr>
          <w:rFonts w:ascii="Times New Roman" w:hAnsi="Times New Roman" w:cs="Times New Roman"/>
        </w:rPr>
        <w:t>to find the beta coefficient (systematic risk).</w:t>
      </w:r>
    </w:p>
    <w:p w14:paraId="5C977FA3" w14:textId="77777777" w:rsidR="00CF4999" w:rsidRPr="00CF4999" w:rsidRDefault="00CF4999" w:rsidP="00CF4999">
      <w:pPr>
        <w:rPr>
          <w:rFonts w:ascii="Times New Roman" w:hAnsi="Times New Roman" w:cs="Times New Roman"/>
          <w:b/>
          <w:bCs/>
        </w:rPr>
      </w:pPr>
    </w:p>
    <w:p w14:paraId="3B086782" w14:textId="77777777" w:rsidR="00CF4999" w:rsidRPr="00CF4999" w:rsidRDefault="00CF4999" w:rsidP="00CF4999">
      <w:pPr>
        <w:rPr>
          <w:rFonts w:ascii="Times New Roman" w:hAnsi="Times New Roman" w:cs="Times New Roman"/>
          <w:b/>
          <w:bCs/>
        </w:rPr>
      </w:pPr>
    </w:p>
    <w:p w14:paraId="4C77B128" w14:textId="77777777" w:rsidR="00CF4999" w:rsidRPr="00CF4999" w:rsidRDefault="00CF4999" w:rsidP="00CF4999">
      <w:pPr>
        <w:rPr>
          <w:rFonts w:ascii="Times New Roman" w:hAnsi="Times New Roman" w:cs="Times New Roman"/>
          <w:b/>
          <w:bCs/>
        </w:rPr>
      </w:pPr>
    </w:p>
    <w:p w14:paraId="26D41796" w14:textId="77777777" w:rsidR="00CF4999" w:rsidRPr="00CF4999" w:rsidRDefault="00CF4999" w:rsidP="00CF4999">
      <w:pPr>
        <w:rPr>
          <w:rFonts w:ascii="Times New Roman" w:hAnsi="Times New Roman" w:cs="Times New Roman"/>
          <w:b/>
          <w:bCs/>
        </w:rPr>
      </w:pPr>
      <w:r w:rsidRPr="00CF4999">
        <w:rPr>
          <w:rFonts w:ascii="Times New Roman" w:hAnsi="Times New Roman" w:cs="Times New Roman"/>
          <w:b/>
          <w:bCs/>
        </w:rPr>
        <w:t>3.4.2.2 Model for APT</w:t>
      </w:r>
    </w:p>
    <w:p w14:paraId="319996FB"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In first pass the betas coefficients are computed by using regression.</w:t>
      </w:r>
    </w:p>
    <w:p w14:paraId="6C41EB94" w14:textId="73643C5B" w:rsidR="00CF4999" w:rsidRPr="00CF4999" w:rsidRDefault="00000000" w:rsidP="00CF4999">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f</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i2</m:t>
              </m:r>
            </m:sub>
          </m:sSub>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i3</m:t>
              </m:r>
            </m:sub>
          </m:sSub>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i4</m:t>
              </m:r>
            </m:sub>
          </m:sSub>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4</m:t>
              </m:r>
            </m:sub>
          </m:sSub>
          <m:r>
            <w:rPr>
              <w:rFonts w:ascii="Cambria Math" w:hAnsi="Cambria Math" w:cs="Times New Roman"/>
            </w:rPr>
            <m:t>+ϵ                 (3.3)</m:t>
          </m:r>
        </m:oMath>
      </m:oMathPara>
    </w:p>
    <w:p w14:paraId="37F78926" w14:textId="432C4F29" w:rsidR="00CF4999" w:rsidRPr="00CF4999" w:rsidRDefault="00CF4999" w:rsidP="00CF4999">
      <w:pPr>
        <w:rPr>
          <w:rFonts w:ascii="Times New Roman" w:hAnsi="Times New Roman" w:cs="Times New Roman"/>
        </w:rPr>
      </w:pPr>
      <w:r w:rsidRPr="00CF4999">
        <w:rPr>
          <w:rFonts w:ascii="Times New Roman" w:hAnsi="Times New Roman" w:cs="Times New Roman"/>
        </w:rPr>
        <w:lastRenderedPageBreak/>
        <w:t>Where Ri is the monthly return of stock i,R</w:t>
      </w:r>
      <w:r w:rsidRPr="00CF4999">
        <w:rPr>
          <w:rFonts w:ascii="Times New Roman" w:hAnsi="Times New Roman" w:cs="Times New Roman"/>
          <w:vertAlign w:val="subscript"/>
        </w:rPr>
        <w:t>f</w:t>
      </w:r>
      <w:r w:rsidRPr="00CF4999">
        <w:rPr>
          <w:rFonts w:ascii="Times New Roman" w:hAnsi="Times New Roman" w:cs="Times New Roman"/>
        </w:rPr>
        <w:t xml:space="preserve"> is risk free rate, β</w:t>
      </w:r>
      <w:r w:rsidRPr="00CF4999">
        <w:rPr>
          <w:rFonts w:ascii="Times New Roman" w:hAnsi="Times New Roman" w:cs="Times New Roman"/>
          <w:vertAlign w:val="subscript"/>
        </w:rPr>
        <w:t xml:space="preserve">i </w:t>
      </w:r>
      <w:r w:rsidRPr="00CF4999">
        <w:rPr>
          <w:rFonts w:ascii="Times New Roman" w:hAnsi="Times New Roman" w:cs="Times New Roman"/>
        </w:rPr>
        <w:t xml:space="preserve">is the sensitivity of stock i with factors and </w:t>
      </w:r>
      <m:oMath>
        <m:r>
          <w:rPr>
            <w:rFonts w:ascii="Cambria Math" w:hAnsi="Cambria Math" w:cs="Times New Roman"/>
          </w:rPr>
          <m:t>ϵ</m:t>
        </m:r>
      </m:oMath>
      <w:r w:rsidRPr="00CF4999">
        <w:rPr>
          <w:rFonts w:ascii="Times New Roman" w:hAnsi="Times New Roman" w:cs="Times New Roman"/>
        </w:rPr>
        <w:t xml:space="preserve"> is the error term.</w:t>
      </w:r>
    </w:p>
    <w:p w14:paraId="741B4558" w14:textId="77777777" w:rsidR="00CF4999" w:rsidRPr="00CF4999" w:rsidRDefault="00CF4999" w:rsidP="00CF4999">
      <w:pPr>
        <w:rPr>
          <w:rFonts w:ascii="Times New Roman" w:hAnsi="Times New Roman" w:cs="Times New Roman"/>
          <w:b/>
        </w:rPr>
      </w:pPr>
    </w:p>
    <w:p w14:paraId="5540425E" w14:textId="77777777" w:rsidR="00CF4999" w:rsidRPr="00CF4999" w:rsidRDefault="00CF4999" w:rsidP="00CF4999">
      <w:pPr>
        <w:rPr>
          <w:rFonts w:ascii="Times New Roman" w:hAnsi="Times New Roman" w:cs="Times New Roman"/>
          <w:b/>
        </w:rPr>
      </w:pPr>
      <w:r w:rsidRPr="00CF4999">
        <w:rPr>
          <w:rFonts w:ascii="Times New Roman" w:hAnsi="Times New Roman" w:cs="Times New Roman"/>
          <w:b/>
        </w:rPr>
        <w:t>3.4.3 Comparison of the Models</w:t>
      </w:r>
    </w:p>
    <w:p w14:paraId="1D3F04AA"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ab/>
        <w:t>The next step of the study is to compare these competing models to evaluate that which one of these models is more supported by data.This study follows the methods used by Chen (1983), the Davidson and Mackinnon equation (1981) and the posterior odds ratio (Zellner, 1979) for comparison of these Models.</w:t>
      </w:r>
    </w:p>
    <w:p w14:paraId="15A2B28B" w14:textId="77777777" w:rsidR="00CF4999" w:rsidRPr="00CF4999" w:rsidRDefault="00CF4999" w:rsidP="00CF4999">
      <w:pPr>
        <w:rPr>
          <w:rFonts w:ascii="Times New Roman" w:hAnsi="Times New Roman" w:cs="Times New Roman"/>
        </w:rPr>
      </w:pPr>
    </w:p>
    <w:p w14:paraId="1DA84E99" w14:textId="77777777" w:rsidR="00CF4999" w:rsidRPr="00CF4999" w:rsidRDefault="00CF4999" w:rsidP="00CF4999">
      <w:pPr>
        <w:rPr>
          <w:rFonts w:ascii="Times New Roman" w:hAnsi="Times New Roman" w:cs="Times New Roman"/>
          <w:b/>
        </w:rPr>
      </w:pPr>
      <w:r w:rsidRPr="00CF4999">
        <w:rPr>
          <w:rFonts w:ascii="Times New Roman" w:hAnsi="Times New Roman" w:cs="Times New Roman"/>
          <w:b/>
        </w:rPr>
        <w:t>3.4.3.1 Davidson and MacKinnon Equation</w:t>
      </w:r>
    </w:p>
    <w:p w14:paraId="199B6AEC" w14:textId="5C8F1AEB" w:rsidR="00CF4999" w:rsidRPr="00CF4999" w:rsidRDefault="00CF4999" w:rsidP="00CF4999">
      <w:pPr>
        <w:rPr>
          <w:rFonts w:ascii="Times New Roman" w:hAnsi="Times New Roman" w:cs="Times New Roman"/>
        </w:rPr>
      </w:pPr>
      <w:r w:rsidRPr="00CF4999">
        <w:rPr>
          <w:rFonts w:ascii="Times New Roman" w:hAnsi="Times New Roman" w:cs="Times New Roman"/>
        </w:rPr>
        <w:tab/>
      </w:r>
      <w:r w:rsidR="00E1130F" w:rsidRPr="00E1130F">
        <w:rPr>
          <w:rFonts w:ascii="Times New Roman" w:hAnsi="Times New Roman" w:cs="Times New Roman"/>
        </w:rPr>
        <w:t>The demand for these technologies is soaring, with the global medical wearables market expected to hit $60 billion by 2026, fueled by the need for remote monitoring and better management of long-term conditions in children [4]. In places like rural India, where families often travel hours to see a specialist, wearables can bridge the gap, giving parents peace of mind and doctors real-time data to act on [5]. This paper dives into how wearables are being used in pediatric surgery and urology, exploring the technology behind them, their real-world impact, the obstacles we face, and what’s on the horizon for improving care for our youngest patients</w:t>
      </w:r>
      <w:r w:rsidR="002F116D">
        <w:rPr>
          <w:rFonts w:ascii="Times New Roman" w:hAnsi="Times New Roman" w:cs="Times New Roman"/>
        </w:rPr>
        <w:t>.</w:t>
      </w:r>
    </w:p>
    <w:p w14:paraId="7A61A916"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WhereR</w:t>
      </w:r>
      <w:r w:rsidRPr="00CF4999">
        <w:rPr>
          <w:rFonts w:ascii="Times New Roman" w:hAnsi="Times New Roman" w:cs="Times New Roman"/>
          <w:vertAlign w:val="subscript"/>
        </w:rPr>
        <w:t>i=</w:t>
      </w:r>
      <w:r w:rsidRPr="00CF4999">
        <w:rPr>
          <w:rFonts w:ascii="Times New Roman" w:hAnsi="Times New Roman" w:cs="Times New Roman"/>
        </w:rPr>
        <w:t xml:space="preserve"> the average monthly excess returns of the stock i, R</w:t>
      </w:r>
      <w:r w:rsidRPr="00CF4999">
        <w:rPr>
          <w:rFonts w:ascii="Times New Roman" w:hAnsi="Times New Roman" w:cs="Times New Roman"/>
          <w:vertAlign w:val="subscript"/>
        </w:rPr>
        <w:t xml:space="preserve">APT= </w:t>
      </w:r>
      <w:r w:rsidRPr="00CF4999">
        <w:rPr>
          <w:rFonts w:ascii="Times New Roman" w:hAnsi="Times New Roman" w:cs="Times New Roman"/>
        </w:rPr>
        <w:t>expected excess returns estimated by APT, R</w:t>
      </w:r>
      <w:r w:rsidRPr="00CF4999">
        <w:rPr>
          <w:rFonts w:ascii="Times New Roman" w:hAnsi="Times New Roman" w:cs="Times New Roman"/>
          <w:vertAlign w:val="subscript"/>
        </w:rPr>
        <w:t xml:space="preserve">CAPM= </w:t>
      </w:r>
      <w:r w:rsidRPr="00CF4999">
        <w:rPr>
          <w:rFonts w:ascii="Times New Roman" w:hAnsi="Times New Roman" w:cs="Times New Roman"/>
        </w:rPr>
        <w:t xml:space="preserve">expected excess returns estimated by CAPM and α measure the effectiveness of the models. The APT is the accurate model to forecast the returns of the stocks as compare to CAPMif α is close to 1. </w:t>
      </w:r>
    </w:p>
    <w:p w14:paraId="0FA0AA87" w14:textId="77777777" w:rsidR="00CF4999" w:rsidRPr="00CF4999" w:rsidRDefault="00CF4999" w:rsidP="00CF4999">
      <w:pPr>
        <w:rPr>
          <w:rFonts w:ascii="Times New Roman" w:hAnsi="Times New Roman" w:cs="Times New Roman"/>
          <w:b/>
        </w:rPr>
      </w:pPr>
    </w:p>
    <w:p w14:paraId="21BAC87F" w14:textId="77777777" w:rsidR="00CF4999" w:rsidRPr="00CF4999" w:rsidRDefault="00CF4999" w:rsidP="00CF4999">
      <w:pPr>
        <w:rPr>
          <w:rFonts w:ascii="Times New Roman" w:hAnsi="Times New Roman" w:cs="Times New Roman"/>
          <w:b/>
        </w:rPr>
      </w:pPr>
      <w:r w:rsidRPr="00CF4999">
        <w:rPr>
          <w:rFonts w:ascii="Times New Roman" w:hAnsi="Times New Roman" w:cs="Times New Roman"/>
          <w:b/>
        </w:rPr>
        <w:t>3.4.3.2 Posterior Odds Ratio</w:t>
      </w:r>
    </w:p>
    <w:p w14:paraId="15AA869B" w14:textId="3A93E12B" w:rsidR="00CF4999" w:rsidRPr="00CF4999" w:rsidRDefault="00CF4999" w:rsidP="00CF4999">
      <w:pPr>
        <w:rPr>
          <w:rFonts w:ascii="Times New Roman" w:hAnsi="Times New Roman" w:cs="Times New Roman"/>
          <w:lang w:val="en-GB"/>
        </w:rPr>
      </w:pPr>
      <w:r w:rsidRPr="00CF4999">
        <w:rPr>
          <w:rFonts w:ascii="Times New Roman" w:hAnsi="Times New Roman" w:cs="Times New Roman"/>
          <w:lang w:val="en-GB"/>
        </w:rPr>
        <w:tab/>
        <w:t>A standard assumption in theoretical and empirical research in finance is that relevant variables (e.g stock returns) have multivariate normal distributions (Richardson and smith, 1993). Given the assumption</w:t>
      </w:r>
      <w:r w:rsidR="00B20EB8">
        <w:rPr>
          <w:rFonts w:ascii="Times New Roman" w:hAnsi="Times New Roman" w:cs="Times New Roman"/>
          <w:lang w:val="en-GB"/>
        </w:rPr>
        <w:t xml:space="preserve"> </w:t>
      </w:r>
      <w:r w:rsidRPr="00CF4999">
        <w:rPr>
          <w:rFonts w:ascii="Times New Roman" w:hAnsi="Times New Roman" w:cs="Times New Roman"/>
          <w:lang w:val="en-GB"/>
        </w:rPr>
        <w:t>that the residuals of the cross-sectional regression of the CAPM and the APT satisfy the IID (Independently and identically distribution) multivariate normal assumption (Campbell, Lo and MacKinlay, 1997), it is possible to calculate the posterior odds ratio between the two models.</w:t>
      </w:r>
      <w:r w:rsidR="00B20EB8">
        <w:rPr>
          <w:rFonts w:ascii="Times New Roman" w:hAnsi="Times New Roman" w:cs="Times New Roman"/>
          <w:lang w:val="en-GB"/>
        </w:rPr>
        <w:t xml:space="preserve"> </w:t>
      </w:r>
      <w:r w:rsidRPr="00CF4999">
        <w:rPr>
          <w:rFonts w:ascii="Times New Roman" w:hAnsi="Times New Roman" w:cs="Times New Roman"/>
          <w:lang w:val="en-GB"/>
        </w:rPr>
        <w:t>In general the posterior odds ratio is a more formal technique as compare to DM equation and has sounder theoretical grounds (Aggelidis and Maditinos, 2006).</w:t>
      </w:r>
    </w:p>
    <w:p w14:paraId="49FAB350" w14:textId="77777777" w:rsidR="00CF4999" w:rsidRPr="00CF4999" w:rsidRDefault="00CF4999" w:rsidP="00CF4999">
      <w:pPr>
        <w:rPr>
          <w:rFonts w:ascii="Times New Roman" w:hAnsi="Times New Roman" w:cs="Times New Roman"/>
          <w:lang w:val="en-GB"/>
        </w:rPr>
      </w:pPr>
      <w:r w:rsidRPr="00CF4999">
        <w:rPr>
          <w:rFonts w:ascii="Times New Roman" w:hAnsi="Times New Roman" w:cs="Times New Roman"/>
        </w:rPr>
        <w:t>The second comparison is done using posterior odd radio. The formula for posterior odds is given by Zellner (1979) in favor of model 0 over model 1.</w:t>
      </w:r>
    </w:p>
    <w:p w14:paraId="31BDD716"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The formula has the following form;</w:t>
      </w:r>
    </w:p>
    <w:p w14:paraId="5AF1245B" w14:textId="77777777" w:rsidR="00CF4999" w:rsidRPr="00CF4999" w:rsidRDefault="00CF4999" w:rsidP="00CF4999">
      <w:pPr>
        <w:rPr>
          <w:rFonts w:ascii="Times New Roman" w:hAnsi="Times New Roman" w:cs="Times New Roman"/>
        </w:rPr>
      </w:pPr>
    </w:p>
    <w:p w14:paraId="700CAE31" w14:textId="04C8DEBF" w:rsidR="00CF4999" w:rsidRPr="00CF4999" w:rsidRDefault="00CF4999" w:rsidP="00CF4999">
      <w:pPr>
        <w:rPr>
          <w:rFonts w:ascii="Times New Roman" w:hAnsi="Times New Roman" w:cs="Times New Roman"/>
        </w:rPr>
      </w:pPr>
      <m:oMathPara>
        <m:oMath>
          <m:r>
            <w:rPr>
              <w:rFonts w:ascii="Cambria Math" w:hAnsi="Cambria Math" w:cs="Times New Roman"/>
            </w:rPr>
            <m:t>R=</m:t>
          </m:r>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ESS</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ESS</m:t>
                      </m:r>
                    </m:e>
                    <m:sub>
                      <m:r>
                        <w:rPr>
                          <w:rFonts w:ascii="Cambria Math" w:hAnsi="Cambria Math" w:cs="Times New Roman"/>
                        </w:rPr>
                        <m:t>1</m:t>
                      </m:r>
                    </m:sub>
                  </m:sSub>
                </m:e>
              </m:d>
            </m:e>
            <m:sup>
              <m:r>
                <w:rPr>
                  <w:rFonts w:ascii="Cambria Math" w:hAnsi="Cambria Math" w:cs="Times New Roman"/>
                </w:rPr>
                <m:t>N/2</m:t>
              </m:r>
            </m:sup>
          </m:sSup>
          <m:sSup>
            <m:sSupPr>
              <m:ctrlPr>
                <w:rPr>
                  <w:rFonts w:ascii="Cambria Math" w:hAnsi="Cambria Math" w:cs="Times New Roman"/>
                  <w:i/>
                </w:rPr>
              </m:ctrlPr>
            </m:sSupPr>
            <m:e>
              <m:r>
                <w:rPr>
                  <w:rFonts w:ascii="Cambria Math" w:hAnsi="Cambria Math" w:cs="Times New Roman"/>
                </w:rPr>
                <m:t>N</m:t>
              </m:r>
            </m:e>
            <m:sup>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1</m:t>
                  </m:r>
                </m:sub>
              </m:sSub>
              <m:r>
                <w:rPr>
                  <w:rFonts w:ascii="Cambria Math" w:hAnsi="Cambria Math" w:cs="Times New Roman"/>
                </w:rPr>
                <m:t>/2</m:t>
              </m:r>
            </m:sup>
          </m:sSup>
          <m:r>
            <w:rPr>
              <w:rFonts w:ascii="Cambria Math" w:hAnsi="Cambria Math" w:cs="Times New Roman"/>
            </w:rPr>
            <m:t xml:space="preserve">                   (3.6)</m:t>
          </m:r>
        </m:oMath>
      </m:oMathPara>
    </w:p>
    <w:p w14:paraId="318386A9" w14:textId="77777777" w:rsidR="00CF4999" w:rsidRPr="00CF4999" w:rsidRDefault="00CF4999" w:rsidP="00CF4999">
      <w:pPr>
        <w:rPr>
          <w:rFonts w:ascii="Times New Roman" w:hAnsi="Times New Roman" w:cs="Times New Roman"/>
        </w:rPr>
      </w:pPr>
    </w:p>
    <w:p w14:paraId="1DD1DAC9" w14:textId="77777777" w:rsidR="00CF4999" w:rsidRPr="00CF4999" w:rsidRDefault="00CF4999" w:rsidP="00CF4999">
      <w:pPr>
        <w:rPr>
          <w:rFonts w:ascii="Times New Roman" w:hAnsi="Times New Roman" w:cs="Times New Roman"/>
          <w:lang w:val="en-GB"/>
        </w:rPr>
      </w:pPr>
      <w:r w:rsidRPr="00CF4999">
        <w:rPr>
          <w:rFonts w:ascii="Times New Roman" w:hAnsi="Times New Roman" w:cs="Times New Roman"/>
        </w:rPr>
        <w:lastRenderedPageBreak/>
        <w:tab/>
        <w:t>WhereESS</w:t>
      </w:r>
      <w:r w:rsidRPr="00CF4999">
        <w:rPr>
          <w:rFonts w:ascii="Times New Roman" w:hAnsi="Times New Roman" w:cs="Times New Roman"/>
          <w:vertAlign w:val="subscript"/>
        </w:rPr>
        <w:t>0</w:t>
      </w:r>
      <w:r w:rsidRPr="00CF4999">
        <w:rPr>
          <w:rFonts w:ascii="Times New Roman" w:hAnsi="Times New Roman" w:cs="Times New Roman"/>
        </w:rPr>
        <w:t>iserror sum of squares of APT, ESS</w:t>
      </w:r>
      <w:r w:rsidRPr="00CF4999">
        <w:rPr>
          <w:rFonts w:ascii="Times New Roman" w:hAnsi="Times New Roman" w:cs="Times New Roman"/>
          <w:vertAlign w:val="subscript"/>
        </w:rPr>
        <w:t>1</w:t>
      </w:r>
      <w:r w:rsidRPr="00CF4999">
        <w:rPr>
          <w:rFonts w:ascii="Times New Roman" w:hAnsi="Times New Roman" w:cs="Times New Roman"/>
        </w:rPr>
        <w:t>iserror sum of squares of CAPM, Nisnumber of observations, K</w:t>
      </w:r>
      <w:r w:rsidRPr="00CF4999">
        <w:rPr>
          <w:rFonts w:ascii="Times New Roman" w:hAnsi="Times New Roman" w:cs="Times New Roman"/>
          <w:vertAlign w:val="subscript"/>
        </w:rPr>
        <w:t>0</w:t>
      </w:r>
      <w:r w:rsidRPr="00CF4999">
        <w:rPr>
          <w:rFonts w:ascii="Times New Roman" w:hAnsi="Times New Roman" w:cs="Times New Roman"/>
        </w:rPr>
        <w:t>is number of independent variables of the APT and K</w:t>
      </w:r>
      <w:r w:rsidRPr="00CF4999">
        <w:rPr>
          <w:rFonts w:ascii="Times New Roman" w:hAnsi="Times New Roman" w:cs="Times New Roman"/>
          <w:vertAlign w:val="subscript"/>
        </w:rPr>
        <w:t xml:space="preserve">1 </w:t>
      </w:r>
      <w:r w:rsidRPr="00CF4999">
        <w:rPr>
          <w:rFonts w:ascii="Times New Roman" w:hAnsi="Times New Roman" w:cs="Times New Roman"/>
        </w:rPr>
        <w:t>isnumber of independent variables of the CAPM.</w:t>
      </w:r>
      <w:r w:rsidRPr="00CF4999">
        <w:rPr>
          <w:rFonts w:ascii="Times New Roman" w:hAnsi="Times New Roman" w:cs="Times New Roman"/>
          <w:lang w:val="en-GB"/>
        </w:rPr>
        <w:t>As according to the ratio when;</w:t>
      </w:r>
    </w:p>
    <w:p w14:paraId="16C31F3F" w14:textId="77777777" w:rsidR="00CF4999" w:rsidRPr="00CF4999" w:rsidRDefault="00CF4999" w:rsidP="00CF4999">
      <w:pPr>
        <w:rPr>
          <w:rFonts w:ascii="Times New Roman" w:hAnsi="Times New Roman" w:cs="Times New Roman"/>
          <w:lang w:val="en-GB"/>
        </w:rPr>
      </w:pPr>
      <w:r w:rsidRPr="00CF4999">
        <w:rPr>
          <w:rFonts w:ascii="Times New Roman" w:hAnsi="Times New Roman" w:cs="Times New Roman"/>
          <w:lang w:val="en-GB"/>
        </w:rPr>
        <w:t>R&gt; 1 means CAPM is more strongly supported by data under consideration than APT.</w:t>
      </w:r>
    </w:p>
    <w:p w14:paraId="56927FA3" w14:textId="77777777" w:rsidR="00CF4999" w:rsidRPr="00CF4999" w:rsidRDefault="00CF4999" w:rsidP="00CF4999">
      <w:pPr>
        <w:rPr>
          <w:rFonts w:ascii="Times New Roman" w:hAnsi="Times New Roman" w:cs="Times New Roman"/>
          <w:lang w:val="en-GB"/>
        </w:rPr>
      </w:pPr>
      <w:r w:rsidRPr="00CF4999">
        <w:rPr>
          <w:rFonts w:ascii="Times New Roman" w:hAnsi="Times New Roman" w:cs="Times New Roman"/>
          <w:lang w:val="en-GB"/>
        </w:rPr>
        <w:t>R &lt; 1 means APT is more strongly supported by data under consideration than CAPM.</w:t>
      </w:r>
    </w:p>
    <w:p w14:paraId="4D37828E" w14:textId="77777777" w:rsidR="00CF4999" w:rsidRPr="00CF4999" w:rsidRDefault="00CF4999" w:rsidP="00CF4999">
      <w:pPr>
        <w:rPr>
          <w:rFonts w:ascii="Times New Roman" w:hAnsi="Times New Roman" w:cs="Times New Roman"/>
        </w:rPr>
      </w:pPr>
    </w:p>
    <w:p w14:paraId="65986277" w14:textId="77777777" w:rsidR="00CF4999" w:rsidRPr="00CF4999" w:rsidRDefault="00CF4999" w:rsidP="00CF4999">
      <w:pPr>
        <w:rPr>
          <w:rFonts w:ascii="Times New Roman" w:hAnsi="Times New Roman" w:cs="Times New Roman"/>
        </w:rPr>
      </w:pPr>
      <w:r w:rsidRPr="00CF4999">
        <w:rPr>
          <w:rFonts w:ascii="Times New Roman" w:hAnsi="Times New Roman" w:cs="Times New Roman"/>
          <w:b/>
        </w:rPr>
        <w:t>IV. RESULTS AND DISCUSSION</w:t>
      </w:r>
    </w:p>
    <w:p w14:paraId="22066A1D"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ab/>
      </w:r>
    </w:p>
    <w:p w14:paraId="6B21B02D" w14:textId="77777777" w:rsidR="00CF4999" w:rsidRPr="00CF4999" w:rsidRDefault="00CF4999" w:rsidP="00CF4999">
      <w:pPr>
        <w:rPr>
          <w:rFonts w:ascii="Times New Roman" w:hAnsi="Times New Roman" w:cs="Times New Roman"/>
          <w:b/>
        </w:rPr>
      </w:pPr>
      <w:r w:rsidRPr="00CF4999">
        <w:rPr>
          <w:rFonts w:ascii="Times New Roman" w:hAnsi="Times New Roman" w:cs="Times New Roman"/>
          <w:b/>
        </w:rPr>
        <w:t>4.1 Results of Descriptive Statics of Study Variables</w:t>
      </w:r>
    </w:p>
    <w:tbl>
      <w:tblPr>
        <w:tblpPr w:leftFromText="180" w:rightFromText="180" w:vertAnchor="text" w:horzAnchor="margin" w:tblpY="42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1348"/>
        <w:gridCol w:w="1538"/>
        <w:gridCol w:w="1153"/>
        <w:gridCol w:w="1153"/>
        <w:gridCol w:w="1730"/>
        <w:gridCol w:w="1153"/>
      </w:tblGrid>
      <w:tr w:rsidR="00CF4999" w:rsidRPr="00CF4999" w14:paraId="151D70AB" w14:textId="77777777" w:rsidTr="00BE4496">
        <w:trPr>
          <w:trHeight w:val="63"/>
        </w:trPr>
        <w:tc>
          <w:tcPr>
            <w:tcW w:w="882" w:type="pct"/>
          </w:tcPr>
          <w:p w14:paraId="06709FCB" w14:textId="77777777" w:rsidR="00CF4999" w:rsidRPr="00CF4999" w:rsidRDefault="00CF4999" w:rsidP="00CF4999">
            <w:pPr>
              <w:rPr>
                <w:rFonts w:ascii="Times New Roman" w:hAnsi="Times New Roman" w:cs="Times New Roman"/>
              </w:rPr>
            </w:pPr>
          </w:p>
          <w:p w14:paraId="29AEE286"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Variable</w:t>
            </w:r>
          </w:p>
        </w:tc>
        <w:tc>
          <w:tcPr>
            <w:tcW w:w="687" w:type="pct"/>
            <w:vAlign w:val="bottom"/>
          </w:tcPr>
          <w:p w14:paraId="3534F5DD"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Minimum</w:t>
            </w:r>
          </w:p>
        </w:tc>
        <w:tc>
          <w:tcPr>
            <w:tcW w:w="784" w:type="pct"/>
            <w:vAlign w:val="bottom"/>
          </w:tcPr>
          <w:p w14:paraId="4BC8E831"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Maximum</w:t>
            </w:r>
          </w:p>
        </w:tc>
        <w:tc>
          <w:tcPr>
            <w:tcW w:w="588" w:type="pct"/>
            <w:vAlign w:val="bottom"/>
          </w:tcPr>
          <w:p w14:paraId="75806F86"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Mean</w:t>
            </w:r>
          </w:p>
        </w:tc>
        <w:tc>
          <w:tcPr>
            <w:tcW w:w="588" w:type="pct"/>
            <w:vAlign w:val="bottom"/>
          </w:tcPr>
          <w:p w14:paraId="5B434BB5"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Std. Deviation</w:t>
            </w:r>
          </w:p>
        </w:tc>
        <w:tc>
          <w:tcPr>
            <w:tcW w:w="882" w:type="pct"/>
          </w:tcPr>
          <w:p w14:paraId="3FBC4B7A" w14:textId="77777777" w:rsidR="00CF4999" w:rsidRPr="00CF4999" w:rsidRDefault="00CF4999" w:rsidP="00CF4999">
            <w:pPr>
              <w:rPr>
                <w:rFonts w:ascii="Times New Roman" w:hAnsi="Times New Roman" w:cs="Times New Roman"/>
                <w:lang w:val="en-GB"/>
              </w:rPr>
            </w:pPr>
            <w:r w:rsidRPr="00CF4999">
              <w:rPr>
                <w:rFonts w:ascii="Times New Roman" w:hAnsi="Times New Roman" w:cs="Times New Roman"/>
                <w:lang w:val="en-GB"/>
              </w:rPr>
              <w:t>Jarque-Bera test</w:t>
            </w:r>
          </w:p>
        </w:tc>
        <w:tc>
          <w:tcPr>
            <w:tcW w:w="588" w:type="pct"/>
          </w:tcPr>
          <w:p w14:paraId="35A8504D"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Sig</w:t>
            </w:r>
          </w:p>
        </w:tc>
      </w:tr>
      <w:tr w:rsidR="00CF4999" w:rsidRPr="00CF4999" w14:paraId="00C74BD8" w14:textId="77777777" w:rsidTr="00BE4496">
        <w:trPr>
          <w:trHeight w:val="63"/>
        </w:trPr>
        <w:tc>
          <w:tcPr>
            <w:tcW w:w="882" w:type="pct"/>
          </w:tcPr>
          <w:p w14:paraId="257809AB"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KSE-100 Index</w:t>
            </w:r>
          </w:p>
        </w:tc>
        <w:tc>
          <w:tcPr>
            <w:tcW w:w="687" w:type="pct"/>
            <w:vAlign w:val="center"/>
          </w:tcPr>
          <w:p w14:paraId="0917ABC8"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-0.11</w:t>
            </w:r>
          </w:p>
        </w:tc>
        <w:tc>
          <w:tcPr>
            <w:tcW w:w="784" w:type="pct"/>
            <w:vAlign w:val="center"/>
          </w:tcPr>
          <w:p w14:paraId="6C25D625" w14:textId="77777777" w:rsidR="00CF4999" w:rsidRPr="00CF4999" w:rsidRDefault="00CF4999" w:rsidP="00CF4999">
            <w:pPr>
              <w:rPr>
                <w:rFonts w:ascii="Times New Roman" w:hAnsi="Times New Roman" w:cs="Times New Roman"/>
              </w:rPr>
            </w:pPr>
          </w:p>
          <w:p w14:paraId="02953604"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0.14</w:t>
            </w:r>
          </w:p>
        </w:tc>
        <w:tc>
          <w:tcPr>
            <w:tcW w:w="588" w:type="pct"/>
            <w:vAlign w:val="center"/>
          </w:tcPr>
          <w:p w14:paraId="3145F293"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0.020</w:t>
            </w:r>
          </w:p>
        </w:tc>
        <w:tc>
          <w:tcPr>
            <w:tcW w:w="588" w:type="pct"/>
            <w:vAlign w:val="center"/>
          </w:tcPr>
          <w:p w14:paraId="6377B0F1"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 xml:space="preserve">       0.047</w:t>
            </w:r>
          </w:p>
        </w:tc>
        <w:tc>
          <w:tcPr>
            <w:tcW w:w="882" w:type="pct"/>
          </w:tcPr>
          <w:p w14:paraId="01CBFF99" w14:textId="77777777" w:rsidR="00CF4999" w:rsidRPr="00CF4999" w:rsidRDefault="00CF4999" w:rsidP="00CF4999">
            <w:pPr>
              <w:rPr>
                <w:rFonts w:ascii="Times New Roman" w:hAnsi="Times New Roman" w:cs="Times New Roman"/>
                <w:lang w:val="en-GB"/>
              </w:rPr>
            </w:pPr>
          </w:p>
          <w:p w14:paraId="0A192F3B" w14:textId="77777777" w:rsidR="00CF4999" w:rsidRPr="00CF4999" w:rsidRDefault="00CF4999" w:rsidP="00CF4999">
            <w:pPr>
              <w:rPr>
                <w:rFonts w:ascii="Times New Roman" w:hAnsi="Times New Roman" w:cs="Times New Roman"/>
                <w:lang w:val="en-GB"/>
              </w:rPr>
            </w:pPr>
            <w:r w:rsidRPr="00CF4999">
              <w:rPr>
                <w:rFonts w:ascii="Times New Roman" w:hAnsi="Times New Roman" w:cs="Times New Roman"/>
                <w:lang w:val="en-GB"/>
              </w:rPr>
              <w:t>5.558</w:t>
            </w:r>
          </w:p>
        </w:tc>
        <w:tc>
          <w:tcPr>
            <w:tcW w:w="588" w:type="pct"/>
          </w:tcPr>
          <w:p w14:paraId="0335A914" w14:textId="77777777" w:rsidR="00CF4999" w:rsidRPr="00CF4999" w:rsidRDefault="00CF4999" w:rsidP="00CF4999">
            <w:pPr>
              <w:rPr>
                <w:rFonts w:ascii="Times New Roman" w:hAnsi="Times New Roman" w:cs="Times New Roman"/>
              </w:rPr>
            </w:pPr>
          </w:p>
          <w:p w14:paraId="3CA4290A"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0.062</w:t>
            </w:r>
          </w:p>
        </w:tc>
      </w:tr>
      <w:tr w:rsidR="00CF4999" w:rsidRPr="00CF4999" w14:paraId="13F3A7B8" w14:textId="77777777" w:rsidTr="00BE4496">
        <w:trPr>
          <w:trHeight w:val="63"/>
        </w:trPr>
        <w:tc>
          <w:tcPr>
            <w:tcW w:w="882" w:type="pct"/>
          </w:tcPr>
          <w:p w14:paraId="78B54D92"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Inflation</w:t>
            </w:r>
          </w:p>
        </w:tc>
        <w:tc>
          <w:tcPr>
            <w:tcW w:w="687" w:type="pct"/>
          </w:tcPr>
          <w:p w14:paraId="5E6DCB68"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 xml:space="preserve">         -0.01</w:t>
            </w:r>
          </w:p>
        </w:tc>
        <w:tc>
          <w:tcPr>
            <w:tcW w:w="784" w:type="pct"/>
            <w:vAlign w:val="center"/>
          </w:tcPr>
          <w:p w14:paraId="3521336B"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0.02</w:t>
            </w:r>
          </w:p>
        </w:tc>
        <w:tc>
          <w:tcPr>
            <w:tcW w:w="588" w:type="pct"/>
            <w:vAlign w:val="center"/>
          </w:tcPr>
          <w:p w14:paraId="55BE5328"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0.007</w:t>
            </w:r>
          </w:p>
        </w:tc>
        <w:tc>
          <w:tcPr>
            <w:tcW w:w="588" w:type="pct"/>
            <w:vAlign w:val="center"/>
          </w:tcPr>
          <w:p w14:paraId="018903B8"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0.008</w:t>
            </w:r>
          </w:p>
        </w:tc>
        <w:tc>
          <w:tcPr>
            <w:tcW w:w="882" w:type="pct"/>
          </w:tcPr>
          <w:p w14:paraId="006069B0"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1.345</w:t>
            </w:r>
          </w:p>
        </w:tc>
        <w:tc>
          <w:tcPr>
            <w:tcW w:w="588" w:type="pct"/>
          </w:tcPr>
          <w:p w14:paraId="0DC32F20"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0.510</w:t>
            </w:r>
          </w:p>
        </w:tc>
      </w:tr>
      <w:tr w:rsidR="00CF4999" w:rsidRPr="00CF4999" w14:paraId="5ADC6BB0" w14:textId="77777777" w:rsidTr="00BE4496">
        <w:trPr>
          <w:trHeight w:val="63"/>
        </w:trPr>
        <w:tc>
          <w:tcPr>
            <w:tcW w:w="882" w:type="pct"/>
          </w:tcPr>
          <w:p w14:paraId="0575F7B1"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Exchange rate</w:t>
            </w:r>
          </w:p>
        </w:tc>
        <w:tc>
          <w:tcPr>
            <w:tcW w:w="687" w:type="pct"/>
            <w:vAlign w:val="center"/>
          </w:tcPr>
          <w:p w14:paraId="19ABFD79"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-0.07</w:t>
            </w:r>
          </w:p>
        </w:tc>
        <w:tc>
          <w:tcPr>
            <w:tcW w:w="784" w:type="pct"/>
            <w:vAlign w:val="center"/>
          </w:tcPr>
          <w:p w14:paraId="7627B8F6"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0.04</w:t>
            </w:r>
          </w:p>
        </w:tc>
        <w:tc>
          <w:tcPr>
            <w:tcW w:w="588" w:type="pct"/>
            <w:vAlign w:val="center"/>
          </w:tcPr>
          <w:p w14:paraId="6CEFA36F"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0.003</w:t>
            </w:r>
          </w:p>
        </w:tc>
        <w:tc>
          <w:tcPr>
            <w:tcW w:w="588" w:type="pct"/>
            <w:vAlign w:val="center"/>
          </w:tcPr>
          <w:p w14:paraId="405DD315"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0.013</w:t>
            </w:r>
          </w:p>
        </w:tc>
        <w:tc>
          <w:tcPr>
            <w:tcW w:w="882" w:type="pct"/>
          </w:tcPr>
          <w:p w14:paraId="6A77ACE9"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1.517</w:t>
            </w:r>
          </w:p>
        </w:tc>
        <w:tc>
          <w:tcPr>
            <w:tcW w:w="588" w:type="pct"/>
          </w:tcPr>
          <w:p w14:paraId="0C315026"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0.467</w:t>
            </w:r>
          </w:p>
        </w:tc>
      </w:tr>
      <w:tr w:rsidR="00CF4999" w:rsidRPr="00CF4999" w14:paraId="653A6095" w14:textId="77777777" w:rsidTr="00BE4496">
        <w:trPr>
          <w:trHeight w:val="63"/>
        </w:trPr>
        <w:tc>
          <w:tcPr>
            <w:tcW w:w="882" w:type="pct"/>
          </w:tcPr>
          <w:p w14:paraId="551C2D61"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Oil Prices</w:t>
            </w:r>
          </w:p>
        </w:tc>
        <w:tc>
          <w:tcPr>
            <w:tcW w:w="687" w:type="pct"/>
            <w:vAlign w:val="center"/>
          </w:tcPr>
          <w:p w14:paraId="3505D867"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-0.24</w:t>
            </w:r>
          </w:p>
        </w:tc>
        <w:tc>
          <w:tcPr>
            <w:tcW w:w="784" w:type="pct"/>
            <w:vAlign w:val="center"/>
          </w:tcPr>
          <w:p w14:paraId="3C4BAC0E"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0.11</w:t>
            </w:r>
          </w:p>
        </w:tc>
        <w:tc>
          <w:tcPr>
            <w:tcW w:w="588" w:type="pct"/>
            <w:vAlign w:val="center"/>
          </w:tcPr>
          <w:p w14:paraId="3E145740"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0.041</w:t>
            </w:r>
          </w:p>
        </w:tc>
        <w:tc>
          <w:tcPr>
            <w:tcW w:w="588" w:type="pct"/>
            <w:vAlign w:val="center"/>
          </w:tcPr>
          <w:p w14:paraId="2D63F4A3"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0.060</w:t>
            </w:r>
          </w:p>
        </w:tc>
        <w:tc>
          <w:tcPr>
            <w:tcW w:w="882" w:type="pct"/>
          </w:tcPr>
          <w:p w14:paraId="6EACE881"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2.474</w:t>
            </w:r>
          </w:p>
        </w:tc>
        <w:tc>
          <w:tcPr>
            <w:tcW w:w="588" w:type="pct"/>
          </w:tcPr>
          <w:p w14:paraId="7A608E27"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0.290</w:t>
            </w:r>
          </w:p>
        </w:tc>
      </w:tr>
      <w:tr w:rsidR="00CF4999" w:rsidRPr="00CF4999" w14:paraId="0D3BD84C" w14:textId="77777777" w:rsidTr="00BE4496">
        <w:trPr>
          <w:trHeight w:val="63"/>
        </w:trPr>
        <w:tc>
          <w:tcPr>
            <w:tcW w:w="882" w:type="pct"/>
          </w:tcPr>
          <w:p w14:paraId="0B981C0F"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Interest rate</w:t>
            </w:r>
          </w:p>
        </w:tc>
        <w:tc>
          <w:tcPr>
            <w:tcW w:w="687" w:type="pct"/>
            <w:vAlign w:val="center"/>
          </w:tcPr>
          <w:p w14:paraId="65791C73"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-0.13</w:t>
            </w:r>
          </w:p>
        </w:tc>
        <w:tc>
          <w:tcPr>
            <w:tcW w:w="784" w:type="pct"/>
            <w:vAlign w:val="center"/>
          </w:tcPr>
          <w:p w14:paraId="72456009"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0.05</w:t>
            </w:r>
          </w:p>
        </w:tc>
        <w:tc>
          <w:tcPr>
            <w:tcW w:w="588" w:type="pct"/>
            <w:vAlign w:val="center"/>
          </w:tcPr>
          <w:p w14:paraId="6A822790"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0.047</w:t>
            </w:r>
          </w:p>
        </w:tc>
        <w:tc>
          <w:tcPr>
            <w:tcW w:w="588" w:type="pct"/>
            <w:vAlign w:val="center"/>
          </w:tcPr>
          <w:p w14:paraId="1E34A78A"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0.029</w:t>
            </w:r>
          </w:p>
        </w:tc>
        <w:tc>
          <w:tcPr>
            <w:tcW w:w="882" w:type="pct"/>
          </w:tcPr>
          <w:p w14:paraId="650C2602"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1.745</w:t>
            </w:r>
          </w:p>
        </w:tc>
        <w:tc>
          <w:tcPr>
            <w:tcW w:w="588" w:type="pct"/>
          </w:tcPr>
          <w:p w14:paraId="1E1B0281"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0.418</w:t>
            </w:r>
          </w:p>
        </w:tc>
      </w:tr>
    </w:tbl>
    <w:p w14:paraId="4BE58F62"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Table 4.1: Descriptive Statics</w:t>
      </w:r>
    </w:p>
    <w:p w14:paraId="40BA9026" w14:textId="77777777" w:rsidR="00CF4999" w:rsidRPr="00CF4999" w:rsidRDefault="00CF4999" w:rsidP="00CF4999">
      <w:pPr>
        <w:rPr>
          <w:rFonts w:ascii="Times New Roman" w:hAnsi="Times New Roman" w:cs="Times New Roman"/>
        </w:rPr>
      </w:pPr>
      <w:r w:rsidRPr="00CF4999">
        <w:rPr>
          <w:rFonts w:ascii="Times New Roman" w:hAnsi="Times New Roman" w:cs="Times New Roman"/>
          <w:b/>
        </w:rPr>
        <w:br/>
      </w:r>
      <w:r w:rsidRPr="00CF4999">
        <w:rPr>
          <w:rFonts w:ascii="Times New Roman" w:hAnsi="Times New Roman" w:cs="Times New Roman"/>
        </w:rPr>
        <w:t xml:space="preserve">Table 4.1 displayed mean, standard deviation, maximum minimum and jarque-bera test and its p value of the macroeconomic variables of the study. The descriptive statistics indicated that the mean values of variables (index, INF, EX, OilP and INT) were 0.020, 0.007, 0.003, 0.041 and 0.047 respectively. The maximum values of the variables between the study periods were 0.14, 0.02, 0.04, 0.41, 0.11 and 0.05 for the KSE- 100 Index, inflation, exchange rate, oil prices and interest rate. </w:t>
      </w:r>
    </w:p>
    <w:p w14:paraId="5038CAB6"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 xml:space="preserve">The standard deviations for each variable indicated that data were widely spread around their respective means. </w:t>
      </w:r>
    </w:p>
    <w:p w14:paraId="2DC577D8" w14:textId="00DA8545" w:rsidR="00CF4999" w:rsidRPr="00CF4999" w:rsidRDefault="00CF4999" w:rsidP="00CF4999">
      <w:pPr>
        <w:rPr>
          <w:rFonts w:ascii="Times New Roman" w:hAnsi="Times New Roman" w:cs="Times New Roman"/>
        </w:rPr>
      </w:pPr>
      <w:r w:rsidRPr="00CF4999">
        <w:rPr>
          <w:rFonts w:ascii="Times New Roman" w:hAnsi="Times New Roman" w:cs="Times New Roman"/>
        </w:rPr>
        <w:t>Column 6 in table 4.1 shows jarque bera test which is used to check</w:t>
      </w:r>
      <w:r>
        <w:rPr>
          <w:rFonts w:ascii="Times New Roman" w:hAnsi="Times New Roman" w:cs="Times New Roman"/>
        </w:rPr>
        <w:t xml:space="preserve"> </w:t>
      </w:r>
      <w:r w:rsidRPr="00CF4999">
        <w:rPr>
          <w:rFonts w:ascii="Times New Roman" w:hAnsi="Times New Roman" w:cs="Times New Roman"/>
        </w:rPr>
        <w:t>the normality of data. The hypotheses of the normal distribution are given;</w:t>
      </w:r>
    </w:p>
    <w:p w14:paraId="0B935723"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H</w:t>
      </w:r>
      <w:r w:rsidRPr="00CF4999">
        <w:rPr>
          <w:rFonts w:ascii="Times New Roman" w:hAnsi="Times New Roman" w:cs="Times New Roman"/>
          <w:vertAlign w:val="subscript"/>
        </w:rPr>
        <w:t xml:space="preserve">0 </w:t>
      </w:r>
      <w:r w:rsidRPr="00CF4999">
        <w:rPr>
          <w:rFonts w:ascii="Times New Roman" w:hAnsi="Times New Roman" w:cs="Times New Roman"/>
        </w:rPr>
        <w:t>: The data is normally distributed.</w:t>
      </w:r>
    </w:p>
    <w:p w14:paraId="2E82A000"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H</w:t>
      </w:r>
      <w:r w:rsidRPr="00CF4999">
        <w:rPr>
          <w:rFonts w:ascii="Times New Roman" w:hAnsi="Times New Roman" w:cs="Times New Roman"/>
          <w:vertAlign w:val="subscript"/>
        </w:rPr>
        <w:t>1 :</w:t>
      </w:r>
      <w:r w:rsidRPr="00CF4999">
        <w:rPr>
          <w:rFonts w:ascii="Times New Roman" w:hAnsi="Times New Roman" w:cs="Times New Roman"/>
        </w:rPr>
        <w:t>The data is not normally distributed.</w:t>
      </w:r>
    </w:p>
    <w:p w14:paraId="6440E203"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lastRenderedPageBreak/>
        <w:t>Table 4.1 shows that at 5 % level of confidence, the null hypothesis of normality cannot be rejected. KSE-100 index and macroeconomic variables inflation, exchange rate, oil prices and interest rate are normally distributed.</w:t>
      </w:r>
    </w:p>
    <w:p w14:paraId="282B67E8" w14:textId="422418A0" w:rsidR="00CF4999" w:rsidRPr="00CF4999" w:rsidRDefault="00FC5E8A" w:rsidP="00CF4999">
      <w:pPr>
        <w:rPr>
          <w:rFonts w:ascii="Times New Roman" w:hAnsi="Times New Roman" w:cs="Times New Roman"/>
        </w:rPr>
      </w:pPr>
      <w:r w:rsidRPr="00FC5E8A">
        <w:rPr>
          <w:rFonts w:ascii="Times New Roman" w:hAnsi="Times New Roman" w:cs="Times New Roman"/>
        </w:rPr>
        <w:t>The demand for these technologies is soaring, with the global medical wearables market expected to hit $60 billion by 2026, fueled by the need for remote monitoring and better management of long-term conditions in children [4]. In places like rural India, where families often travel hours to see a specialist, wearables can bridge the gap, giving parents peace of mind and doctors real-time data to act on [5]. This paper dives into how wearables are being used in pediatric surgery and urology, exploring the technology behind them, their real-world impact, the obstacles we face, and what’s on the horizon for improving care for our youngest patients.</w:t>
      </w:r>
    </w:p>
    <w:p w14:paraId="243DE874"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Table 1 Table Type Styles</w:t>
      </w:r>
    </w:p>
    <w:tbl>
      <w:tblPr>
        <w:tblW w:w="0" w:type="auto"/>
        <w:jc w:val="center"/>
        <w:tblLayout w:type="fixed"/>
        <w:tblLook w:val="0000" w:firstRow="0" w:lastRow="0" w:firstColumn="0" w:lastColumn="0" w:noHBand="0" w:noVBand="0"/>
      </w:tblPr>
      <w:tblGrid>
        <w:gridCol w:w="1176"/>
        <w:gridCol w:w="1884"/>
        <w:gridCol w:w="1039"/>
        <w:gridCol w:w="1039"/>
      </w:tblGrid>
      <w:tr w:rsidR="00CF4999" w:rsidRPr="00CF4999" w14:paraId="5D1808DF" w14:textId="77777777" w:rsidTr="00CF4999">
        <w:trPr>
          <w:trHeight w:val="240"/>
          <w:tblHeader/>
          <w:jc w:val="center"/>
        </w:trPr>
        <w:tc>
          <w:tcPr>
            <w:tcW w:w="1176" w:type="dxa"/>
            <w:tcBorders>
              <w:top w:val="single" w:sz="1" w:space="0" w:color="000000"/>
              <w:left w:val="single" w:sz="1" w:space="0" w:color="000000"/>
              <w:bottom w:val="single" w:sz="1" w:space="0" w:color="000000"/>
            </w:tcBorders>
            <w:vAlign w:val="center"/>
          </w:tcPr>
          <w:p w14:paraId="760B7451" w14:textId="54516F6D" w:rsidR="00CF4999" w:rsidRPr="00CF4999" w:rsidRDefault="00CF4999" w:rsidP="00CF4999">
            <w:pPr>
              <w:rPr>
                <w:rFonts w:ascii="Times New Roman" w:hAnsi="Times New Roman" w:cs="Times New Roman"/>
                <w:b/>
                <w:bCs/>
              </w:rPr>
            </w:pPr>
            <w:r w:rsidRPr="00CF4999">
              <w:rPr>
                <w:rFonts w:ascii="Times New Roman" w:hAnsi="Times New Roman" w:cs="Times New Roman"/>
                <w:b/>
                <w:bCs/>
              </w:rPr>
              <w:t>Table</w:t>
            </w:r>
            <w:r>
              <w:rPr>
                <w:rFonts w:ascii="Times New Roman" w:hAnsi="Times New Roman" w:cs="Times New Roman"/>
                <w:b/>
                <w:bCs/>
              </w:rPr>
              <w:t xml:space="preserve"> </w:t>
            </w:r>
            <w:r w:rsidRPr="00CF4999">
              <w:rPr>
                <w:rFonts w:ascii="Times New Roman" w:hAnsi="Times New Roman" w:cs="Times New Roman"/>
                <w:b/>
                <w:bCs/>
              </w:rPr>
              <w:t>Head</w:t>
            </w:r>
          </w:p>
        </w:tc>
        <w:tc>
          <w:tcPr>
            <w:tcW w:w="3962" w:type="dxa"/>
            <w:gridSpan w:val="3"/>
            <w:tcBorders>
              <w:top w:val="single" w:sz="1" w:space="0" w:color="000000"/>
              <w:left w:val="single" w:sz="1" w:space="0" w:color="000000"/>
              <w:bottom w:val="single" w:sz="1" w:space="0" w:color="000000"/>
              <w:right w:val="single" w:sz="1" w:space="0" w:color="000000"/>
            </w:tcBorders>
            <w:vAlign w:val="center"/>
          </w:tcPr>
          <w:p w14:paraId="307A40E3" w14:textId="26539D17" w:rsidR="00CF4999" w:rsidRPr="00CF4999" w:rsidRDefault="00CF4999" w:rsidP="00CF4999">
            <w:pPr>
              <w:rPr>
                <w:rFonts w:ascii="Times New Roman" w:hAnsi="Times New Roman" w:cs="Times New Roman"/>
                <w:b/>
                <w:bCs/>
              </w:rPr>
            </w:pPr>
            <w:r w:rsidRPr="00CF4999">
              <w:rPr>
                <w:rFonts w:ascii="Times New Roman" w:hAnsi="Times New Roman" w:cs="Times New Roman"/>
                <w:b/>
                <w:bCs/>
              </w:rPr>
              <w:t>Table</w:t>
            </w:r>
            <w:r>
              <w:rPr>
                <w:rFonts w:ascii="Times New Roman" w:hAnsi="Times New Roman" w:cs="Times New Roman"/>
                <w:b/>
                <w:bCs/>
              </w:rPr>
              <w:t xml:space="preserve"> </w:t>
            </w:r>
            <w:r w:rsidRPr="00CF4999">
              <w:rPr>
                <w:rFonts w:ascii="Times New Roman" w:hAnsi="Times New Roman" w:cs="Times New Roman"/>
                <w:b/>
                <w:bCs/>
              </w:rPr>
              <w:t>Column</w:t>
            </w:r>
            <w:r>
              <w:rPr>
                <w:rFonts w:ascii="Times New Roman" w:hAnsi="Times New Roman" w:cs="Times New Roman"/>
                <w:b/>
                <w:bCs/>
              </w:rPr>
              <w:t xml:space="preserve"> </w:t>
            </w:r>
            <w:r w:rsidRPr="00CF4999">
              <w:rPr>
                <w:rFonts w:ascii="Times New Roman" w:hAnsi="Times New Roman" w:cs="Times New Roman"/>
                <w:b/>
                <w:bCs/>
              </w:rPr>
              <w:t>Head</w:t>
            </w:r>
          </w:p>
        </w:tc>
      </w:tr>
      <w:tr w:rsidR="00CF4999" w:rsidRPr="00CF4999" w14:paraId="35FCF604" w14:textId="77777777" w:rsidTr="00CF4999">
        <w:trPr>
          <w:trHeight w:val="240"/>
          <w:tblHeader/>
          <w:jc w:val="center"/>
        </w:trPr>
        <w:tc>
          <w:tcPr>
            <w:tcW w:w="1176" w:type="dxa"/>
            <w:tcBorders>
              <w:top w:val="single" w:sz="1" w:space="0" w:color="000000"/>
              <w:left w:val="single" w:sz="1" w:space="0" w:color="000000"/>
              <w:bottom w:val="single" w:sz="1" w:space="0" w:color="000000"/>
            </w:tcBorders>
          </w:tcPr>
          <w:p w14:paraId="7E194CFE" w14:textId="77777777" w:rsidR="00CF4999" w:rsidRPr="00CF4999" w:rsidRDefault="00CF4999" w:rsidP="00CF4999">
            <w:pPr>
              <w:rPr>
                <w:rFonts w:ascii="Times New Roman" w:hAnsi="Times New Roman" w:cs="Times New Roman"/>
              </w:rPr>
            </w:pPr>
          </w:p>
        </w:tc>
        <w:tc>
          <w:tcPr>
            <w:tcW w:w="1884" w:type="dxa"/>
            <w:tcBorders>
              <w:top w:val="single" w:sz="1" w:space="0" w:color="000000"/>
              <w:left w:val="single" w:sz="1" w:space="0" w:color="000000"/>
              <w:bottom w:val="single" w:sz="1" w:space="0" w:color="000000"/>
            </w:tcBorders>
            <w:vAlign w:val="center"/>
          </w:tcPr>
          <w:p w14:paraId="2BABA163" w14:textId="76794B88" w:rsidR="00CF4999" w:rsidRPr="00CF4999" w:rsidRDefault="00CF4999" w:rsidP="00CF4999">
            <w:pPr>
              <w:rPr>
                <w:rFonts w:ascii="Times New Roman" w:hAnsi="Times New Roman" w:cs="Times New Roman"/>
                <w:b/>
                <w:bCs/>
                <w:iCs/>
              </w:rPr>
            </w:pPr>
            <w:r w:rsidRPr="00CF4999">
              <w:rPr>
                <w:rFonts w:ascii="Times New Roman" w:hAnsi="Times New Roman" w:cs="Times New Roman"/>
                <w:b/>
                <w:bCs/>
                <w:iCs/>
              </w:rPr>
              <w:t>Table</w:t>
            </w:r>
            <w:r>
              <w:rPr>
                <w:rFonts w:ascii="Times New Roman" w:hAnsi="Times New Roman" w:cs="Times New Roman"/>
                <w:b/>
                <w:bCs/>
                <w:iCs/>
              </w:rPr>
              <w:t xml:space="preserve"> </w:t>
            </w:r>
            <w:r w:rsidRPr="00CF4999">
              <w:rPr>
                <w:rFonts w:ascii="Times New Roman" w:hAnsi="Times New Roman" w:cs="Times New Roman"/>
                <w:b/>
                <w:bCs/>
                <w:iCs/>
              </w:rPr>
              <w:t>column</w:t>
            </w:r>
            <w:r>
              <w:rPr>
                <w:rFonts w:ascii="Times New Roman" w:hAnsi="Times New Roman" w:cs="Times New Roman"/>
                <w:b/>
                <w:bCs/>
                <w:iCs/>
              </w:rPr>
              <w:t xml:space="preserve"> </w:t>
            </w:r>
            <w:r w:rsidRPr="00CF4999">
              <w:rPr>
                <w:rFonts w:ascii="Times New Roman" w:hAnsi="Times New Roman" w:cs="Times New Roman"/>
                <w:b/>
                <w:bCs/>
                <w:iCs/>
              </w:rPr>
              <w:t>subhead</w:t>
            </w:r>
          </w:p>
        </w:tc>
        <w:tc>
          <w:tcPr>
            <w:tcW w:w="1039" w:type="dxa"/>
            <w:tcBorders>
              <w:top w:val="single" w:sz="1" w:space="0" w:color="000000"/>
              <w:left w:val="single" w:sz="1" w:space="0" w:color="000000"/>
              <w:bottom w:val="single" w:sz="1" w:space="0" w:color="000000"/>
            </w:tcBorders>
            <w:vAlign w:val="center"/>
          </w:tcPr>
          <w:p w14:paraId="725B2934" w14:textId="77777777" w:rsidR="00CF4999" w:rsidRPr="00CF4999" w:rsidRDefault="00CF4999" w:rsidP="00CF4999">
            <w:pPr>
              <w:rPr>
                <w:rFonts w:ascii="Times New Roman" w:hAnsi="Times New Roman" w:cs="Times New Roman"/>
                <w:b/>
                <w:bCs/>
                <w:iCs/>
              </w:rPr>
            </w:pPr>
            <w:r w:rsidRPr="00CF4999">
              <w:rPr>
                <w:rFonts w:ascii="Times New Roman" w:hAnsi="Times New Roman" w:cs="Times New Roman"/>
                <w:b/>
                <w:bCs/>
                <w:iCs/>
              </w:rPr>
              <w:t>Subhead</w:t>
            </w:r>
          </w:p>
        </w:tc>
        <w:tc>
          <w:tcPr>
            <w:tcW w:w="1039" w:type="dxa"/>
            <w:tcBorders>
              <w:top w:val="single" w:sz="1" w:space="0" w:color="000000"/>
              <w:left w:val="single" w:sz="1" w:space="0" w:color="000000"/>
              <w:bottom w:val="single" w:sz="1" w:space="0" w:color="000000"/>
              <w:right w:val="single" w:sz="1" w:space="0" w:color="000000"/>
            </w:tcBorders>
            <w:vAlign w:val="center"/>
          </w:tcPr>
          <w:p w14:paraId="2E48B2B8" w14:textId="77777777" w:rsidR="00CF4999" w:rsidRPr="00CF4999" w:rsidRDefault="00CF4999" w:rsidP="00CF4999">
            <w:pPr>
              <w:rPr>
                <w:rFonts w:ascii="Times New Roman" w:hAnsi="Times New Roman" w:cs="Times New Roman"/>
                <w:b/>
                <w:bCs/>
                <w:iCs/>
              </w:rPr>
            </w:pPr>
            <w:r w:rsidRPr="00CF4999">
              <w:rPr>
                <w:rFonts w:ascii="Times New Roman" w:hAnsi="Times New Roman" w:cs="Times New Roman"/>
                <w:b/>
                <w:bCs/>
                <w:iCs/>
              </w:rPr>
              <w:t>Subhead</w:t>
            </w:r>
          </w:p>
        </w:tc>
      </w:tr>
      <w:tr w:rsidR="00CF4999" w:rsidRPr="00CF4999" w14:paraId="411A85CF" w14:textId="77777777" w:rsidTr="00CF4999">
        <w:trPr>
          <w:trHeight w:val="320"/>
          <w:jc w:val="center"/>
        </w:trPr>
        <w:tc>
          <w:tcPr>
            <w:tcW w:w="1176" w:type="dxa"/>
            <w:tcBorders>
              <w:top w:val="single" w:sz="1" w:space="0" w:color="000000"/>
              <w:left w:val="single" w:sz="1" w:space="0" w:color="000000"/>
              <w:bottom w:val="single" w:sz="1" w:space="0" w:color="000000"/>
            </w:tcBorders>
            <w:vAlign w:val="center"/>
          </w:tcPr>
          <w:p w14:paraId="4476C1A2" w14:textId="77777777" w:rsidR="00CF4999" w:rsidRPr="00CF4999" w:rsidRDefault="00CF4999" w:rsidP="00CF4999">
            <w:pPr>
              <w:rPr>
                <w:rFonts w:ascii="Times New Roman" w:hAnsi="Times New Roman" w:cs="Times New Roman"/>
              </w:rPr>
            </w:pPr>
            <w:r w:rsidRPr="00CF4999">
              <w:rPr>
                <w:rFonts w:ascii="Times New Roman" w:hAnsi="Times New Roman" w:cs="Times New Roman"/>
              </w:rPr>
              <w:t>copy</w:t>
            </w:r>
          </w:p>
        </w:tc>
        <w:tc>
          <w:tcPr>
            <w:tcW w:w="1884" w:type="dxa"/>
            <w:tcBorders>
              <w:top w:val="single" w:sz="1" w:space="0" w:color="000000"/>
              <w:left w:val="single" w:sz="1" w:space="0" w:color="000000"/>
              <w:bottom w:val="single" w:sz="1" w:space="0" w:color="000000"/>
            </w:tcBorders>
            <w:vAlign w:val="center"/>
          </w:tcPr>
          <w:p w14:paraId="1AEF36F3" w14:textId="4C87627F" w:rsidR="00CF4999" w:rsidRPr="00CF4999" w:rsidRDefault="00CF4999" w:rsidP="00CF4999">
            <w:pPr>
              <w:rPr>
                <w:rFonts w:ascii="Times New Roman" w:hAnsi="Times New Roman" w:cs="Times New Roman"/>
              </w:rPr>
            </w:pPr>
            <w:r w:rsidRPr="00CF4999">
              <w:rPr>
                <w:rFonts w:ascii="Times New Roman" w:hAnsi="Times New Roman" w:cs="Times New Roman"/>
              </w:rPr>
              <w:t>More</w:t>
            </w:r>
            <w:r>
              <w:rPr>
                <w:rFonts w:ascii="Times New Roman" w:hAnsi="Times New Roman" w:cs="Times New Roman"/>
              </w:rPr>
              <w:t xml:space="preserve"> </w:t>
            </w:r>
            <w:r w:rsidRPr="00CF4999">
              <w:rPr>
                <w:rFonts w:ascii="Times New Roman" w:hAnsi="Times New Roman" w:cs="Times New Roman"/>
              </w:rPr>
              <w:t>table</w:t>
            </w:r>
            <w:r>
              <w:rPr>
                <w:rFonts w:ascii="Times New Roman" w:hAnsi="Times New Roman" w:cs="Times New Roman"/>
              </w:rPr>
              <w:t xml:space="preserve"> </w:t>
            </w:r>
            <w:r w:rsidRPr="00CF4999">
              <w:rPr>
                <w:rFonts w:ascii="Times New Roman" w:hAnsi="Times New Roman" w:cs="Times New Roman"/>
              </w:rPr>
              <w:t>copy</w:t>
            </w:r>
            <w:r w:rsidRPr="00CF4999">
              <w:rPr>
                <w:rFonts w:ascii="Times New Roman" w:hAnsi="Times New Roman" w:cs="Times New Roman"/>
                <w:vertAlign w:val="superscript"/>
              </w:rPr>
              <w:t>a</w:t>
            </w:r>
          </w:p>
        </w:tc>
        <w:tc>
          <w:tcPr>
            <w:tcW w:w="1039" w:type="dxa"/>
            <w:tcBorders>
              <w:top w:val="single" w:sz="1" w:space="0" w:color="000000"/>
              <w:left w:val="single" w:sz="1" w:space="0" w:color="000000"/>
              <w:bottom w:val="single" w:sz="1" w:space="0" w:color="000000"/>
            </w:tcBorders>
            <w:vAlign w:val="center"/>
          </w:tcPr>
          <w:p w14:paraId="661BCC9C" w14:textId="77777777" w:rsidR="00CF4999" w:rsidRPr="00CF4999" w:rsidRDefault="00CF4999" w:rsidP="00CF4999">
            <w:pPr>
              <w:rPr>
                <w:rFonts w:ascii="Times New Roman" w:hAnsi="Times New Roman" w:cs="Times New Roman"/>
              </w:rPr>
            </w:pPr>
          </w:p>
        </w:tc>
        <w:tc>
          <w:tcPr>
            <w:tcW w:w="1039" w:type="dxa"/>
            <w:tcBorders>
              <w:top w:val="single" w:sz="1" w:space="0" w:color="000000"/>
              <w:left w:val="single" w:sz="1" w:space="0" w:color="000000"/>
              <w:bottom w:val="single" w:sz="1" w:space="0" w:color="000000"/>
              <w:right w:val="single" w:sz="1" w:space="0" w:color="000000"/>
            </w:tcBorders>
            <w:vAlign w:val="center"/>
          </w:tcPr>
          <w:p w14:paraId="53856FB0" w14:textId="77777777" w:rsidR="00CF4999" w:rsidRPr="00CF4999" w:rsidRDefault="00CF4999" w:rsidP="00CF4999">
            <w:pPr>
              <w:rPr>
                <w:rFonts w:ascii="Times New Roman" w:hAnsi="Times New Roman" w:cs="Times New Roman"/>
              </w:rPr>
            </w:pPr>
          </w:p>
        </w:tc>
      </w:tr>
    </w:tbl>
    <w:p w14:paraId="318C2BFE" w14:textId="77777777" w:rsidR="00CF4999" w:rsidRPr="00CF4999" w:rsidRDefault="00CF4999" w:rsidP="00CF4999">
      <w:pPr>
        <w:numPr>
          <w:ilvl w:val="0"/>
          <w:numId w:val="2"/>
        </w:numPr>
        <w:rPr>
          <w:rFonts w:ascii="Times New Roman" w:hAnsi="Times New Roman" w:cs="Times New Roman"/>
          <w:b/>
        </w:rPr>
      </w:pPr>
      <w:r w:rsidRPr="00CF4999">
        <w:rPr>
          <w:rFonts w:ascii="Times New Roman" w:hAnsi="Times New Roman" w:cs="Times New Roman"/>
          <w:b/>
        </w:rPr>
        <w:t>Acknowledgment</w:t>
      </w:r>
    </w:p>
    <w:p w14:paraId="380FA3DE" w14:textId="67481B6F" w:rsidR="00CF4999" w:rsidRDefault="00CF4999" w:rsidP="00CF4999">
      <w:pPr>
        <w:rPr>
          <w:rFonts w:ascii="Times New Roman" w:hAnsi="Times New Roman" w:cs="Times New Roman"/>
        </w:rPr>
      </w:pPr>
      <w:r w:rsidRPr="00CF4999">
        <w:rPr>
          <w:rFonts w:ascii="Times New Roman" w:hAnsi="Times New Roman" w:cs="Times New Roman"/>
        </w:rPr>
        <w:t>All acknowledgments be typed in one paragraph directly preceding the reference section and may include supporting grants, presentations, and so forth.</w:t>
      </w:r>
    </w:p>
    <w:p w14:paraId="7F151809" w14:textId="77777777" w:rsidR="00CF4999" w:rsidRDefault="00CF4999" w:rsidP="00CF4999">
      <w:pPr>
        <w:rPr>
          <w:rFonts w:ascii="Times New Roman" w:hAnsi="Times New Roman" w:cs="Times New Roman"/>
        </w:rPr>
      </w:pPr>
    </w:p>
    <w:p w14:paraId="02F950A2" w14:textId="4B0E4FB8" w:rsidR="00CF4999" w:rsidRPr="00CF4999" w:rsidRDefault="00CF4999" w:rsidP="00CF4999">
      <w:pPr>
        <w:rPr>
          <w:rFonts w:ascii="Times New Roman" w:hAnsi="Times New Roman" w:cs="Times New Roman"/>
          <w:b/>
        </w:rPr>
      </w:pPr>
      <w:r w:rsidRPr="00CF4999">
        <w:rPr>
          <w:rFonts w:ascii="Times New Roman" w:hAnsi="Times New Roman" w:cs="Times New Roman"/>
          <w:b/>
        </w:rPr>
        <w:t>References</w:t>
      </w:r>
    </w:p>
    <w:p w14:paraId="4EFEA71B" w14:textId="0F38E06F" w:rsidR="00B20EB8" w:rsidRPr="00B20EB8" w:rsidRDefault="00B20EB8" w:rsidP="00B20EB8">
      <w:pPr>
        <w:pStyle w:val="ListParagraph"/>
        <w:numPr>
          <w:ilvl w:val="0"/>
          <w:numId w:val="3"/>
        </w:numPr>
        <w:rPr>
          <w:rFonts w:ascii="Times New Roman" w:hAnsi="Times New Roman" w:cs="Times New Roman"/>
        </w:rPr>
      </w:pPr>
      <w:r w:rsidRPr="00B20EB8">
        <w:rPr>
          <w:rFonts w:ascii="Times New Roman" w:hAnsi="Times New Roman" w:cs="Times New Roman"/>
        </w:rPr>
        <w:t>Aboramadan, M., Dahleez, K., &amp; Hamad, M. (2020). Servant leadership and academics outcomes in higher education: The role of job satisfaction. International Journal of Organizational Analysis, 29(3), 562–584. https://doi.org/10.1108/IJOA-11-2019-1923</w:t>
      </w:r>
    </w:p>
    <w:p w14:paraId="1A5DA8C7" w14:textId="77777777" w:rsidR="00B20EB8" w:rsidRPr="00B20EB8" w:rsidRDefault="00B20EB8" w:rsidP="00B20EB8">
      <w:pPr>
        <w:pStyle w:val="ListParagraph"/>
        <w:numPr>
          <w:ilvl w:val="0"/>
          <w:numId w:val="3"/>
        </w:numPr>
        <w:rPr>
          <w:rFonts w:ascii="Times New Roman" w:hAnsi="Times New Roman" w:cs="Times New Roman"/>
        </w:rPr>
      </w:pPr>
      <w:r w:rsidRPr="00B20EB8">
        <w:rPr>
          <w:rFonts w:ascii="Times New Roman" w:hAnsi="Times New Roman" w:cs="Times New Roman"/>
        </w:rPr>
        <w:t>Al-Asadi, R., Muhammed, S., Abidi, O., &amp; Dzenopoljac, V. (2019). Impact of servant leadership on intrinsic and extrinsic job satisfaction. Leadership &amp; Organization Development Journal, 40(4), 472–484. https://doi.org/10.1108/LODJ-09-2018-0337</w:t>
      </w:r>
    </w:p>
    <w:p w14:paraId="518512A5" w14:textId="16209856" w:rsidR="00091B82" w:rsidRPr="00B20EB8" w:rsidRDefault="00B20EB8" w:rsidP="00B20EB8">
      <w:pPr>
        <w:pStyle w:val="ListParagraph"/>
        <w:numPr>
          <w:ilvl w:val="0"/>
          <w:numId w:val="3"/>
        </w:numPr>
        <w:rPr>
          <w:rFonts w:ascii="Times New Roman" w:hAnsi="Times New Roman" w:cs="Times New Roman"/>
          <w:lang w:val="en-IN"/>
        </w:rPr>
      </w:pPr>
      <w:r w:rsidRPr="00B20EB8">
        <w:rPr>
          <w:rFonts w:ascii="Times New Roman" w:hAnsi="Times New Roman" w:cs="Times New Roman"/>
        </w:rPr>
        <w:t>Bakker, A. B., &amp; Demerouti, E. (2007). The Job Demands–Resources model: State of the art. Journal of Managerial Psychology, 22(3), 309–328.</w:t>
      </w:r>
    </w:p>
    <w:sectPr w:rsidR="00091B82" w:rsidRPr="00B20EB8" w:rsidSect="00034616">
      <w:headerReference w:type="default" r:id="rId8"/>
      <w:footerReference w:type="default" r:id="rId9"/>
      <w:pgSz w:w="12240" w:h="15840"/>
      <w:pgMar w:top="1181" w:right="1325" w:bottom="1123" w:left="1325"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0D1EF" w14:textId="77777777" w:rsidR="0093325E" w:rsidRDefault="0093325E">
      <w:pPr>
        <w:spacing w:after="0" w:line="240" w:lineRule="auto"/>
      </w:pPr>
      <w:r>
        <w:separator/>
      </w:r>
    </w:p>
  </w:endnote>
  <w:endnote w:type="continuationSeparator" w:id="0">
    <w:p w14:paraId="41171C15" w14:textId="77777777" w:rsidR="0093325E" w:rsidRDefault="00933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64306" w14:textId="77777777" w:rsidR="004B60C2" w:rsidRDefault="00000000">
    <w:pPr>
      <w:pStyle w:val="Footer"/>
      <w:jc w:val="right"/>
    </w:pPr>
    <w:r>
      <w:rPr>
        <w:color w:val="5D6872"/>
        <w:sz w:val="18"/>
      </w:rPr>
      <w:fldChar w:fldCharType="begin"/>
    </w:r>
    <w:r>
      <w:rPr>
        <w:color w:val="5D6872"/>
        <w:sz w:val="18"/>
      </w:rPr>
      <w:instrText xml:space="preserve"> PAGE </w:instrText>
    </w:r>
    <w:r>
      <w:rPr>
        <w:color w:val="5D6872"/>
        <w:sz w:val="18"/>
      </w:rPr>
      <w:fldChar w:fldCharType="separate"/>
    </w:r>
    <w:r>
      <w:rPr>
        <w:color w:val="5D6872"/>
        <w:sz w:val="18"/>
      </w:rPr>
      <w:t>88</w:t>
    </w:r>
    <w:r>
      <w:rPr>
        <w:color w:val="5D6872"/>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0C139" w14:textId="77777777" w:rsidR="0093325E" w:rsidRDefault="0093325E">
      <w:pPr>
        <w:spacing w:after="0" w:line="240" w:lineRule="auto"/>
      </w:pPr>
      <w:r>
        <w:separator/>
      </w:r>
    </w:p>
  </w:footnote>
  <w:footnote w:type="continuationSeparator" w:id="0">
    <w:p w14:paraId="07E838B5" w14:textId="77777777" w:rsidR="0093325E" w:rsidRDefault="009332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83563" w14:textId="569F834C" w:rsidR="004B60C2" w:rsidRDefault="004B60C2">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upperRoman"/>
      <w:suff w:val="space"/>
      <w:lvlText w:val="%1."/>
      <w:lvlJc w:val="center"/>
      <w:pPr>
        <w:tabs>
          <w:tab w:val="num" w:pos="0"/>
        </w:tabs>
        <w:ind w:left="0" w:firstLine="216"/>
      </w:pPr>
      <w:rPr>
        <w:rFonts w:cs="Times New Roman"/>
        <w:i w:val="0"/>
        <w:iCs w:val="0"/>
      </w:rPr>
    </w:lvl>
    <w:lvl w:ilvl="1">
      <w:start w:val="1"/>
      <w:numFmt w:val="upperLetter"/>
      <w:lvlText w:val="%2."/>
      <w:lvlJc w:val="left"/>
      <w:pPr>
        <w:tabs>
          <w:tab w:val="num" w:pos="227"/>
        </w:tabs>
        <w:ind w:left="288" w:hanging="288"/>
      </w:pPr>
      <w:rPr>
        <w:rFonts w:cs="Times New Roman"/>
      </w:rPr>
    </w:lvl>
    <w:lvl w:ilvl="2">
      <w:start w:val="1"/>
      <w:numFmt w:val="decimal"/>
      <w:lvlText w:val="%3)"/>
      <w:lvlJc w:val="left"/>
      <w:pPr>
        <w:tabs>
          <w:tab w:val="num" w:pos="425"/>
        </w:tabs>
        <w:ind w:left="0" w:firstLine="180"/>
      </w:pPr>
      <w:rPr>
        <w:rFonts w:cs="Times New Roman"/>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0" w15:restartNumberingAfterBreak="0">
    <w:nsid w:val="37696F5D"/>
    <w:multiLevelType w:val="singleLevel"/>
    <w:tmpl w:val="0F00EACA"/>
    <w:lvl w:ilvl="0">
      <w:start w:val="1"/>
      <w:numFmt w:val="decimal"/>
      <w:pStyle w:val="ListBullet"/>
      <w:suff w:val="space"/>
      <w:lvlText w:val="%1."/>
      <w:lvlJc w:val="left"/>
      <w:pPr>
        <w:tabs>
          <w:tab w:val="num" w:pos="360"/>
        </w:tabs>
        <w:ind w:left="360" w:hanging="360"/>
      </w:pPr>
    </w:lvl>
  </w:abstractNum>
  <w:abstractNum w:abstractNumId="11" w15:restartNumberingAfterBreak="0">
    <w:nsid w:val="533A25C4"/>
    <w:multiLevelType w:val="hybridMultilevel"/>
    <w:tmpl w:val="F21EF412"/>
    <w:lvl w:ilvl="0" w:tplc="80442348">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DE97946"/>
    <w:multiLevelType w:val="hybridMultilevel"/>
    <w:tmpl w:val="9B8A7FA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16cid:durableId="1858040199">
    <w:abstractNumId w:val="10"/>
  </w:num>
  <w:num w:numId="2" w16cid:durableId="286085789">
    <w:abstractNumId w:val="9"/>
  </w:num>
  <w:num w:numId="3" w16cid:durableId="1866020566">
    <w:abstractNumId w:val="12"/>
  </w:num>
  <w:num w:numId="4" w16cid:durableId="17547429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546D"/>
    <w:rsid w:val="00034616"/>
    <w:rsid w:val="0006063C"/>
    <w:rsid w:val="00091B82"/>
    <w:rsid w:val="000F6885"/>
    <w:rsid w:val="001023AA"/>
    <w:rsid w:val="001110B2"/>
    <w:rsid w:val="0015004C"/>
    <w:rsid w:val="0015074B"/>
    <w:rsid w:val="001B459E"/>
    <w:rsid w:val="002175D7"/>
    <w:rsid w:val="0029639D"/>
    <w:rsid w:val="002F116D"/>
    <w:rsid w:val="00326F90"/>
    <w:rsid w:val="00381503"/>
    <w:rsid w:val="003E08E6"/>
    <w:rsid w:val="004B60C2"/>
    <w:rsid w:val="004D3626"/>
    <w:rsid w:val="004E65CB"/>
    <w:rsid w:val="00501E7B"/>
    <w:rsid w:val="00527E8A"/>
    <w:rsid w:val="00530B28"/>
    <w:rsid w:val="005825F0"/>
    <w:rsid w:val="006A0473"/>
    <w:rsid w:val="00722D29"/>
    <w:rsid w:val="00771C98"/>
    <w:rsid w:val="007D6BD9"/>
    <w:rsid w:val="008B5805"/>
    <w:rsid w:val="008E0478"/>
    <w:rsid w:val="0093325E"/>
    <w:rsid w:val="00954311"/>
    <w:rsid w:val="009852E9"/>
    <w:rsid w:val="009B055D"/>
    <w:rsid w:val="00A1618F"/>
    <w:rsid w:val="00A2404E"/>
    <w:rsid w:val="00A45910"/>
    <w:rsid w:val="00A4782F"/>
    <w:rsid w:val="00A86605"/>
    <w:rsid w:val="00A9085C"/>
    <w:rsid w:val="00AA1D8D"/>
    <w:rsid w:val="00AB700B"/>
    <w:rsid w:val="00B20EB8"/>
    <w:rsid w:val="00B3761D"/>
    <w:rsid w:val="00B47730"/>
    <w:rsid w:val="00BB515E"/>
    <w:rsid w:val="00C14579"/>
    <w:rsid w:val="00C71522"/>
    <w:rsid w:val="00CB0664"/>
    <w:rsid w:val="00CF04E8"/>
    <w:rsid w:val="00CF4999"/>
    <w:rsid w:val="00D066C7"/>
    <w:rsid w:val="00D34C63"/>
    <w:rsid w:val="00D448C6"/>
    <w:rsid w:val="00DB5C86"/>
    <w:rsid w:val="00E1130F"/>
    <w:rsid w:val="00E161E2"/>
    <w:rsid w:val="00E53B8E"/>
    <w:rsid w:val="00EC699F"/>
    <w:rsid w:val="00EF377A"/>
    <w:rsid w:val="00F631ED"/>
    <w:rsid w:val="00F65BD4"/>
    <w:rsid w:val="00F73874"/>
    <w:rsid w:val="00FC5E8A"/>
    <w:rsid w:val="00FC693F"/>
    <w:rsid w:val="00FD6349"/>
    <w:rsid w:val="00FF73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53ECAA"/>
  <w14:defaultImageDpi w14:val="300"/>
  <w15:docId w15:val="{F8C6DF42-BF17-4D54-A1C6-29F043F68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300" w:lineRule="auto"/>
      <w:jc w:val="both"/>
    </w:pPr>
    <w:rPr>
      <w:rFonts w:ascii="Calibri" w:hAnsi="Calibri"/>
      <w:color w:val="202A33"/>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173A5E"/>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2D6B9F"/>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200" w:after="100" w:line="240" w:lineRule="auto"/>
      <w:contextualSpacing/>
    </w:pPr>
    <w:rPr>
      <w:rFonts w:asciiTheme="majorHAnsi" w:eastAsiaTheme="majorEastAsia" w:hAnsiTheme="majorHAnsi" w:cstheme="majorBidi"/>
      <w:b/>
      <w:color w:val="173A5E"/>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i/>
      <w:color w:val="4F81BD" w:themeColor="accent1"/>
      <w:sz w:val="19"/>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91B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Pages>
  <Words>3332</Words>
  <Characters>18996</Characters>
  <Application>Microsoft Office Word</Application>
  <DocSecurity>0</DocSecurity>
  <Lines>158</Lines>
  <Paragraphs>44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Structure Without Authoritarianism: School Discipline as a Condition for Inquiry-Based Science Learning in Primary Education</vt:lpstr>
      <vt:lpstr/>
    </vt:vector>
  </TitlesOfParts>
  <Manager/>
  <Company/>
  <LinksUpToDate>false</LinksUpToDate>
  <CharactersWithSpaces>22284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Structure Without Authoritarianism: School Discipline as a Condition for Inquiry-Based Science Learning in Primary Education</dc:title>
  <dc:subject>Conceptual integrative review of discipline and inquiry-based primary science education</dc:subject>
  <dc:creator>python-docx</dc:creator>
  <cp:keywords>inquiry-based science education; discipline; primary education; self-regulation</cp:keywords>
  <dc:description>Prepared as an original conceptual integrative review.</dc:description>
  <cp:lastModifiedBy>Agam Sharma</cp:lastModifiedBy>
  <cp:revision>48</cp:revision>
  <dcterms:created xsi:type="dcterms:W3CDTF">2013-12-23T23:15:00Z</dcterms:created>
  <dcterms:modified xsi:type="dcterms:W3CDTF">2026-09-10T11:19:00Z</dcterms:modified>
  <cp:category/>
</cp:coreProperties>
</file>